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AB8" w14:textId="3CF0DA82" w:rsidR="0002001C" w:rsidRPr="0069538E" w:rsidRDefault="0002001C" w:rsidP="00706E66">
      <w:pPr>
        <w:jc w:val="both"/>
        <w:rPr>
          <w:b/>
          <w:sz w:val="44"/>
          <w:szCs w:val="44"/>
          <w:lang w:val="en-US"/>
        </w:rPr>
      </w:pPr>
      <w:r w:rsidRPr="0069538E">
        <w:rPr>
          <w:b/>
          <w:sz w:val="44"/>
          <w:szCs w:val="44"/>
          <w:lang w:val="en-US"/>
        </w:rPr>
        <w:t>APPLICATION FORM</w:t>
      </w:r>
      <w:r w:rsidR="00B90777">
        <w:rPr>
          <w:b/>
          <w:sz w:val="44"/>
          <w:szCs w:val="44"/>
          <w:lang w:val="en-US"/>
        </w:rPr>
        <w:t>/INTRODUCTORY REPORT</w:t>
      </w:r>
    </w:p>
    <w:p w14:paraId="7716EB3B" w14:textId="3174B7B2" w:rsidR="00563B78" w:rsidRPr="0002001C" w:rsidRDefault="0002001C" w:rsidP="00706E66">
      <w:pPr>
        <w:jc w:val="both"/>
        <w:rPr>
          <w:rFonts w:ascii="Calibri" w:eastAsia="Calibri" w:hAnsi="Calibri" w:cs="Times New Roman"/>
          <w:b/>
          <w:bCs/>
          <w:i/>
          <w:iCs/>
          <w:color w:val="DF9B1B"/>
          <w:sz w:val="34"/>
          <w:szCs w:val="34"/>
          <w:lang w:val="en-US"/>
        </w:rPr>
      </w:pPr>
      <w:r w:rsidRPr="0069538E">
        <w:rPr>
          <w:b/>
          <w:sz w:val="28"/>
          <w:szCs w:val="28"/>
          <w:lang w:val="en-US"/>
        </w:rPr>
        <w:t>ADMISSION TO TRADING OF SHARES ON EURONEXT</w:t>
      </w:r>
      <w:r>
        <w:rPr>
          <w:b/>
          <w:sz w:val="28"/>
          <w:szCs w:val="28"/>
          <w:lang w:val="en-US"/>
        </w:rPr>
        <w:t xml:space="preserve"> GROWTH</w:t>
      </w:r>
      <w:r w:rsidR="007004B9">
        <w:rPr>
          <w:b/>
          <w:sz w:val="28"/>
          <w:szCs w:val="28"/>
          <w:lang w:val="en-US"/>
        </w:rPr>
        <w:t xml:space="preserve"> OPERATED BY</w:t>
      </w:r>
      <w:r>
        <w:rPr>
          <w:b/>
          <w:sz w:val="28"/>
          <w:szCs w:val="28"/>
          <w:lang w:val="en-US"/>
        </w:rPr>
        <w:t xml:space="preserve"> OSLO</w:t>
      </w:r>
      <w:r w:rsidR="00B118FC">
        <w:rPr>
          <w:b/>
          <w:sz w:val="28"/>
          <w:szCs w:val="28"/>
          <w:lang w:val="en-US"/>
        </w:rPr>
        <w:t xml:space="preserve"> BØRS</w:t>
      </w:r>
    </w:p>
    <w:p w14:paraId="11EB53FB" w14:textId="5FCEA844" w:rsidR="0090231C" w:rsidRPr="00A432C1" w:rsidRDefault="000013F0" w:rsidP="00706E66">
      <w:pPr>
        <w:pStyle w:val="Heading1"/>
        <w:jc w:val="both"/>
        <w:rPr>
          <w:sz w:val="22"/>
          <w:szCs w:val="22"/>
        </w:rPr>
      </w:pPr>
      <w:bookmarkStart w:id="0" w:name="_Toc50730096"/>
      <w:r w:rsidRPr="00A432C1">
        <w:rPr>
          <w:sz w:val="22"/>
          <w:szCs w:val="22"/>
        </w:rPr>
        <w:t>A</w:t>
      </w:r>
      <w:r w:rsidR="00A432C1">
        <w:rPr>
          <w:sz w:val="22"/>
          <w:szCs w:val="22"/>
        </w:rPr>
        <w:t>PPLICATION FOR ADMISSION TO TRADING</w:t>
      </w:r>
      <w:r w:rsidRPr="00A432C1">
        <w:rPr>
          <w:sz w:val="22"/>
          <w:szCs w:val="22"/>
        </w:rPr>
        <w:t xml:space="preserve"> </w:t>
      </w:r>
      <w:bookmarkEnd w:id="0"/>
      <w:r w:rsidR="00B90777">
        <w:rPr>
          <w:sz w:val="22"/>
          <w:szCs w:val="22"/>
        </w:rPr>
        <w:t>/ INTRODUCTORY REPORT</w:t>
      </w:r>
    </w:p>
    <w:p w14:paraId="0C018B85" w14:textId="77777777" w:rsidR="008668AF" w:rsidRPr="0002001C" w:rsidRDefault="000013F0" w:rsidP="0002001C">
      <w:pPr>
        <w:pStyle w:val="Heading2"/>
      </w:pPr>
      <w:bookmarkStart w:id="1" w:name="_Toc314474079"/>
      <w:bookmarkStart w:id="2" w:name="_Toc314484293"/>
      <w:bookmarkStart w:id="3" w:name="_Toc314484368"/>
      <w:bookmarkStart w:id="4" w:name="_Toc314484550"/>
      <w:bookmarkStart w:id="5" w:name="_Toc314484751"/>
      <w:bookmarkStart w:id="6" w:name="_Toc314484883"/>
      <w:bookmarkStart w:id="7" w:name="_Toc314484980"/>
      <w:bookmarkStart w:id="8" w:name="_Toc314485132"/>
      <w:bookmarkStart w:id="9" w:name="_Toc314485377"/>
      <w:bookmarkStart w:id="10" w:name="_Toc314485443"/>
      <w:bookmarkStart w:id="11" w:name="_Toc314485538"/>
      <w:bookmarkStart w:id="12" w:name="_Toc314485599"/>
      <w:bookmarkStart w:id="13" w:name="_Toc314485989"/>
      <w:bookmarkStart w:id="14" w:name="_Toc314486049"/>
      <w:bookmarkStart w:id="15" w:name="_Toc314486115"/>
      <w:bookmarkStart w:id="16" w:name="_Toc314474082"/>
      <w:bookmarkStart w:id="17" w:name="_Toc314484296"/>
      <w:bookmarkStart w:id="18" w:name="_Toc314484371"/>
      <w:bookmarkStart w:id="19" w:name="_Toc314484553"/>
      <w:bookmarkStart w:id="20" w:name="_Toc314484754"/>
      <w:bookmarkStart w:id="21" w:name="_Toc314484886"/>
      <w:bookmarkStart w:id="22" w:name="_Toc314484983"/>
      <w:bookmarkStart w:id="23" w:name="_Toc314485135"/>
      <w:bookmarkStart w:id="24" w:name="_Toc314485380"/>
      <w:bookmarkStart w:id="25" w:name="_Toc314485446"/>
      <w:bookmarkStart w:id="26" w:name="_Toc314485541"/>
      <w:bookmarkStart w:id="27" w:name="_Toc314485602"/>
      <w:bookmarkStart w:id="28" w:name="_Toc314485992"/>
      <w:bookmarkStart w:id="29" w:name="_Toc314486052"/>
      <w:bookmarkStart w:id="30" w:name="_Toc314486118"/>
      <w:bookmarkStart w:id="31" w:name="_Toc507300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02001C">
        <w:t>Introduction</w:t>
      </w:r>
      <w:bookmarkEnd w:id="31"/>
    </w:p>
    <w:p w14:paraId="5FF2E9B2" w14:textId="759F0065" w:rsidR="0002001C" w:rsidRPr="00FC1817" w:rsidRDefault="0002001C" w:rsidP="00E76051">
      <w:pPr>
        <w:jc w:val="both"/>
        <w:rPr>
          <w:sz w:val="20"/>
          <w:szCs w:val="20"/>
          <w:lang w:val="en-US"/>
        </w:rPr>
      </w:pPr>
      <w:r w:rsidRPr="00FC1817">
        <w:rPr>
          <w:sz w:val="20"/>
          <w:szCs w:val="20"/>
          <w:lang w:val="en-US"/>
        </w:rPr>
        <w:t xml:space="preserve">The Issuer </w:t>
      </w:r>
      <w:r w:rsidR="007D2871">
        <w:rPr>
          <w:sz w:val="20"/>
          <w:szCs w:val="20"/>
          <w:lang w:val="en-US"/>
        </w:rPr>
        <w:t xml:space="preserve">must </w:t>
      </w:r>
      <w:r w:rsidRPr="00FC1817">
        <w:rPr>
          <w:sz w:val="20"/>
          <w:szCs w:val="20"/>
          <w:lang w:val="en-US"/>
        </w:rPr>
        <w:t>address all sections of the application</w:t>
      </w:r>
      <w:r w:rsidR="00B350B5">
        <w:rPr>
          <w:sz w:val="20"/>
          <w:szCs w:val="20"/>
          <w:lang w:val="en-US"/>
        </w:rPr>
        <w:t>/</w:t>
      </w:r>
      <w:r w:rsidR="008E5C1D">
        <w:rPr>
          <w:sz w:val="20"/>
          <w:szCs w:val="20"/>
          <w:lang w:val="en-US"/>
        </w:rPr>
        <w:t>i</w:t>
      </w:r>
      <w:r w:rsidR="00B350B5">
        <w:rPr>
          <w:sz w:val="20"/>
          <w:szCs w:val="20"/>
          <w:lang w:val="en-US"/>
        </w:rPr>
        <w:t>ntroductory report</w:t>
      </w:r>
      <w:r w:rsidRPr="00FC1817">
        <w:rPr>
          <w:sz w:val="20"/>
          <w:szCs w:val="20"/>
          <w:lang w:val="en-US"/>
        </w:rPr>
        <w:t xml:space="preserve">. If specific sections are not relevant, this must be stated in respect of each such section. Guidance about which information that </w:t>
      </w:r>
      <w:r w:rsidR="009919C0">
        <w:rPr>
          <w:sz w:val="20"/>
          <w:szCs w:val="20"/>
          <w:lang w:val="en-US"/>
        </w:rPr>
        <w:t>shall</w:t>
      </w:r>
      <w:r w:rsidRPr="00FC1817">
        <w:rPr>
          <w:sz w:val="20"/>
          <w:szCs w:val="20"/>
          <w:lang w:val="en-US"/>
        </w:rPr>
        <w:t xml:space="preserve"> be given is provided in each section. The Issuer may provide additional information if desired. </w:t>
      </w:r>
    </w:p>
    <w:p w14:paraId="04FC2969" w14:textId="6B0A4D2B" w:rsidR="0002001C" w:rsidRDefault="0002001C" w:rsidP="00E76051">
      <w:pPr>
        <w:jc w:val="both"/>
        <w:rPr>
          <w:sz w:val="20"/>
          <w:szCs w:val="20"/>
          <w:lang w:val="en-US"/>
        </w:rPr>
      </w:pPr>
    </w:p>
    <w:p w14:paraId="053F6668" w14:textId="20B01CFB" w:rsidR="00B350B5" w:rsidRDefault="00B350B5" w:rsidP="00E76051">
      <w:pPr>
        <w:jc w:val="both"/>
        <w:rPr>
          <w:sz w:val="20"/>
          <w:szCs w:val="20"/>
          <w:lang w:val="en-US"/>
        </w:rPr>
      </w:pPr>
      <w:r>
        <w:rPr>
          <w:sz w:val="20"/>
          <w:szCs w:val="20"/>
          <w:lang w:val="en-US"/>
        </w:rPr>
        <w:t xml:space="preserve">Please state whether </w:t>
      </w:r>
      <w:r w:rsidRPr="00B350B5">
        <w:rPr>
          <w:sz w:val="20"/>
          <w:szCs w:val="20"/>
          <w:lang w:val="en-US"/>
        </w:rPr>
        <w:t>this letter is an introductory report or an application for admission to trading.</w:t>
      </w:r>
    </w:p>
    <w:p w14:paraId="2EAFCBFE" w14:textId="2294AF2C" w:rsidR="00B350B5" w:rsidRDefault="00B350B5" w:rsidP="00E76051">
      <w:pPr>
        <w:jc w:val="both"/>
        <w:rPr>
          <w:sz w:val="20"/>
          <w:szCs w:val="20"/>
          <w:lang w:val="en-US"/>
        </w:rPr>
      </w:pPr>
    </w:p>
    <w:p w14:paraId="3D10FC6F" w14:textId="1FFCC126" w:rsidR="00B350B5" w:rsidRDefault="00B350B5" w:rsidP="00E76051">
      <w:pPr>
        <w:jc w:val="both"/>
        <w:rPr>
          <w:sz w:val="20"/>
          <w:szCs w:val="20"/>
          <w:lang w:val="en-US"/>
        </w:rPr>
      </w:pPr>
      <w:r w:rsidRPr="00B350B5">
        <w:rPr>
          <w:sz w:val="20"/>
          <w:szCs w:val="20"/>
          <w:lang w:val="en-US"/>
        </w:rPr>
        <w:t>Please state whether the Issuer aims for a normal, flexible or fast-track admission to trading process.</w:t>
      </w:r>
    </w:p>
    <w:p w14:paraId="525FC9C9" w14:textId="77777777" w:rsidR="00B350B5" w:rsidRDefault="00B350B5" w:rsidP="00E76051">
      <w:pPr>
        <w:jc w:val="both"/>
        <w:rPr>
          <w:sz w:val="20"/>
          <w:szCs w:val="20"/>
          <w:lang w:val="en-US"/>
        </w:rPr>
      </w:pPr>
    </w:p>
    <w:p w14:paraId="4C15F5FE" w14:textId="6FDF18DA" w:rsidR="00B90777" w:rsidRDefault="00B90777" w:rsidP="00E76051">
      <w:pPr>
        <w:jc w:val="both"/>
        <w:rPr>
          <w:sz w:val="20"/>
          <w:szCs w:val="20"/>
          <w:lang w:val="en-US"/>
        </w:rPr>
      </w:pPr>
      <w:r w:rsidRPr="00B90777">
        <w:rPr>
          <w:sz w:val="20"/>
          <w:szCs w:val="20"/>
          <w:lang w:val="en-US"/>
        </w:rPr>
        <w:t>The content of the introductory report must satisfy the requirements for an application for admission to trading required by an ordinary admission process, with the exception of</w:t>
      </w:r>
      <w:r w:rsidR="00B350B5">
        <w:rPr>
          <w:sz w:val="20"/>
          <w:szCs w:val="20"/>
          <w:lang w:val="en-US"/>
        </w:rPr>
        <w:t xml:space="preserve"> board minutes</w:t>
      </w:r>
      <w:r w:rsidRPr="00B90777">
        <w:rPr>
          <w:sz w:val="20"/>
          <w:szCs w:val="20"/>
          <w:lang w:val="en-US"/>
        </w:rPr>
        <w:t xml:space="preserve"> </w:t>
      </w:r>
      <w:r w:rsidR="00B350B5">
        <w:rPr>
          <w:sz w:val="20"/>
          <w:szCs w:val="20"/>
          <w:lang w:val="en-US"/>
        </w:rPr>
        <w:t>(</w:t>
      </w:r>
      <w:r w:rsidR="008E5C1D">
        <w:rPr>
          <w:sz w:val="20"/>
          <w:szCs w:val="20"/>
          <w:lang w:val="en-US"/>
        </w:rPr>
        <w:t>c</w:t>
      </w:r>
      <w:r w:rsidR="00B350B5">
        <w:rPr>
          <w:sz w:val="20"/>
          <w:szCs w:val="20"/>
          <w:lang w:val="en-US"/>
        </w:rPr>
        <w:t xml:space="preserve">f. Notice 2.2 </w:t>
      </w:r>
      <w:r w:rsidRPr="00B90777">
        <w:rPr>
          <w:sz w:val="20"/>
          <w:szCs w:val="20"/>
          <w:lang w:val="en-US"/>
        </w:rPr>
        <w:t>section 2 (3) item 2 (board minutes)</w:t>
      </w:r>
      <w:r w:rsidR="008E5C1D">
        <w:rPr>
          <w:sz w:val="20"/>
          <w:szCs w:val="20"/>
          <w:lang w:val="en-US"/>
        </w:rPr>
        <w:t>)</w:t>
      </w:r>
      <w:r w:rsidRPr="00B90777">
        <w:rPr>
          <w:sz w:val="20"/>
          <w:szCs w:val="20"/>
          <w:lang w:val="en-US"/>
        </w:rPr>
        <w:t>.</w:t>
      </w:r>
    </w:p>
    <w:p w14:paraId="4B7FC141" w14:textId="77777777" w:rsidR="00B90777" w:rsidRPr="00FC1817" w:rsidRDefault="00B90777" w:rsidP="00E76051">
      <w:pPr>
        <w:jc w:val="both"/>
        <w:rPr>
          <w:sz w:val="20"/>
          <w:szCs w:val="20"/>
          <w:lang w:val="en-US"/>
        </w:rPr>
      </w:pPr>
    </w:p>
    <w:p w14:paraId="598B6BFF" w14:textId="2AC097FF" w:rsidR="00B350B5" w:rsidRDefault="00B350B5" w:rsidP="00E76051">
      <w:pPr>
        <w:jc w:val="both"/>
        <w:rPr>
          <w:sz w:val="20"/>
          <w:szCs w:val="20"/>
          <w:lang w:val="en-US"/>
        </w:rPr>
      </w:pPr>
      <w:r>
        <w:rPr>
          <w:sz w:val="20"/>
          <w:szCs w:val="20"/>
          <w:lang w:val="en-US"/>
        </w:rPr>
        <w:t xml:space="preserve">To the extent that there </w:t>
      </w:r>
      <w:r w:rsidR="00087184">
        <w:rPr>
          <w:sz w:val="20"/>
          <w:szCs w:val="20"/>
          <w:lang w:val="en-US"/>
        </w:rPr>
        <w:t>is</w:t>
      </w:r>
      <w:r>
        <w:rPr>
          <w:sz w:val="20"/>
          <w:szCs w:val="20"/>
          <w:lang w:val="en-US"/>
        </w:rPr>
        <w:t xml:space="preserve"> information that is planned to be submitted at a later stage, this must be </w:t>
      </w:r>
      <w:r w:rsidR="009418CB">
        <w:rPr>
          <w:sz w:val="20"/>
          <w:szCs w:val="20"/>
          <w:lang w:val="en-US"/>
        </w:rPr>
        <w:t>clarified with Oslo Børs well in advance</w:t>
      </w:r>
      <w:r w:rsidR="008E5C1D">
        <w:rPr>
          <w:sz w:val="20"/>
          <w:szCs w:val="20"/>
          <w:lang w:val="en-US"/>
        </w:rPr>
        <w:t xml:space="preserve"> of submitting the introductory report or application form</w:t>
      </w:r>
      <w:r w:rsidR="009418CB">
        <w:rPr>
          <w:sz w:val="20"/>
          <w:szCs w:val="20"/>
          <w:lang w:val="en-US"/>
        </w:rPr>
        <w:t>.</w:t>
      </w:r>
    </w:p>
    <w:p w14:paraId="2505D006" w14:textId="77777777" w:rsidR="00B350B5" w:rsidRDefault="00B350B5" w:rsidP="00E76051">
      <w:pPr>
        <w:jc w:val="both"/>
        <w:rPr>
          <w:sz w:val="20"/>
          <w:szCs w:val="20"/>
          <w:lang w:val="en-US"/>
        </w:rPr>
      </w:pPr>
    </w:p>
    <w:p w14:paraId="58CD4928" w14:textId="0BE220AB" w:rsidR="0002001C" w:rsidRPr="00FC1817" w:rsidRDefault="0002001C" w:rsidP="00E76051">
      <w:pPr>
        <w:jc w:val="both"/>
        <w:rPr>
          <w:sz w:val="20"/>
          <w:szCs w:val="20"/>
          <w:lang w:val="en-US"/>
        </w:rPr>
      </w:pPr>
      <w:r w:rsidRPr="00FC1817">
        <w:rPr>
          <w:sz w:val="20"/>
          <w:szCs w:val="20"/>
          <w:lang w:val="en-US"/>
        </w:rPr>
        <w:t xml:space="preserve">The order of the </w:t>
      </w:r>
      <w:r w:rsidR="008E5C1D">
        <w:rPr>
          <w:sz w:val="20"/>
          <w:szCs w:val="20"/>
          <w:lang w:val="en-US"/>
        </w:rPr>
        <w:t>a</w:t>
      </w:r>
      <w:r w:rsidRPr="00FC1817">
        <w:rPr>
          <w:sz w:val="20"/>
          <w:szCs w:val="20"/>
          <w:lang w:val="en-US"/>
        </w:rPr>
        <w:t xml:space="preserve">pplication </w:t>
      </w:r>
      <w:r w:rsidR="008E5C1D">
        <w:rPr>
          <w:sz w:val="20"/>
          <w:szCs w:val="20"/>
          <w:lang w:val="en-US"/>
        </w:rPr>
        <w:t>f</w:t>
      </w:r>
      <w:r w:rsidRPr="00FC1817">
        <w:rPr>
          <w:sz w:val="20"/>
          <w:szCs w:val="20"/>
          <w:lang w:val="en-US"/>
        </w:rPr>
        <w:t>orm</w:t>
      </w:r>
      <w:r w:rsidR="00B30940">
        <w:rPr>
          <w:sz w:val="20"/>
          <w:szCs w:val="20"/>
          <w:lang w:val="en-US"/>
        </w:rPr>
        <w:t>/</w:t>
      </w:r>
      <w:r w:rsidR="008E5C1D">
        <w:rPr>
          <w:sz w:val="20"/>
          <w:szCs w:val="20"/>
          <w:lang w:val="en-US"/>
        </w:rPr>
        <w:t>i</w:t>
      </w:r>
      <w:r w:rsidR="00B30940">
        <w:rPr>
          <w:sz w:val="20"/>
          <w:szCs w:val="20"/>
          <w:lang w:val="en-US"/>
        </w:rPr>
        <w:t>ntroductory report</w:t>
      </w:r>
      <w:r w:rsidRPr="00FC1817">
        <w:rPr>
          <w:sz w:val="20"/>
          <w:szCs w:val="20"/>
          <w:lang w:val="en-US"/>
        </w:rPr>
        <w:t xml:space="preserve"> must not be changed and no sections shall be deleted.</w:t>
      </w:r>
    </w:p>
    <w:p w14:paraId="567C5D38" w14:textId="77777777" w:rsidR="0002001C" w:rsidRPr="00FC1817" w:rsidRDefault="0002001C" w:rsidP="00E76051">
      <w:pPr>
        <w:jc w:val="both"/>
        <w:rPr>
          <w:sz w:val="20"/>
          <w:szCs w:val="20"/>
          <w:lang w:val="en-US"/>
        </w:rPr>
      </w:pPr>
    </w:p>
    <w:p w14:paraId="134DE298" w14:textId="4D9B911E" w:rsidR="00B56EDA" w:rsidRPr="00A432C1" w:rsidRDefault="0002001C" w:rsidP="00E76051">
      <w:pPr>
        <w:jc w:val="both"/>
        <w:rPr>
          <w:sz w:val="20"/>
          <w:szCs w:val="20"/>
          <w:lang w:val="en-GB"/>
        </w:rPr>
      </w:pPr>
      <w:r w:rsidRPr="00FC1817">
        <w:rPr>
          <w:sz w:val="20"/>
          <w:szCs w:val="20"/>
          <w:lang w:val="en-US"/>
        </w:rPr>
        <w:t xml:space="preserve">Extracts from </w:t>
      </w:r>
      <w:r>
        <w:rPr>
          <w:sz w:val="20"/>
          <w:szCs w:val="20"/>
          <w:lang w:val="en-US"/>
        </w:rPr>
        <w:t>the</w:t>
      </w:r>
      <w:r w:rsidRPr="00FC1817">
        <w:rPr>
          <w:sz w:val="20"/>
          <w:szCs w:val="20"/>
          <w:lang w:val="en-US"/>
        </w:rPr>
        <w:t xml:space="preserve"> admission to trading</w:t>
      </w:r>
      <w:r>
        <w:rPr>
          <w:sz w:val="20"/>
          <w:szCs w:val="20"/>
          <w:lang w:val="en-US"/>
        </w:rPr>
        <w:t xml:space="preserve"> rules</w:t>
      </w:r>
      <w:r w:rsidRPr="00FC1817">
        <w:rPr>
          <w:sz w:val="20"/>
          <w:szCs w:val="20"/>
          <w:lang w:val="en-US"/>
        </w:rPr>
        <w:t xml:space="preserve"> on Euronext Growth Oslo are included in separate boxes. Please state where the required attachments (cf. section 3 below) are appended as attachments to the completed </w:t>
      </w:r>
      <w:r w:rsidR="008E5C1D">
        <w:rPr>
          <w:sz w:val="20"/>
          <w:szCs w:val="20"/>
          <w:lang w:val="en-US"/>
        </w:rPr>
        <w:t>a</w:t>
      </w:r>
      <w:r w:rsidRPr="00FC1817">
        <w:rPr>
          <w:sz w:val="20"/>
          <w:szCs w:val="20"/>
          <w:lang w:val="en-US"/>
        </w:rPr>
        <w:t xml:space="preserve">pplication </w:t>
      </w:r>
      <w:r w:rsidR="008E5C1D">
        <w:rPr>
          <w:sz w:val="20"/>
          <w:szCs w:val="20"/>
          <w:lang w:val="en-US"/>
        </w:rPr>
        <w:t>f</w:t>
      </w:r>
      <w:r w:rsidR="008E5C1D" w:rsidRPr="00FC1817">
        <w:rPr>
          <w:sz w:val="20"/>
          <w:szCs w:val="20"/>
          <w:lang w:val="en-US"/>
        </w:rPr>
        <w:t>orm</w:t>
      </w:r>
      <w:r w:rsidR="008E5C1D">
        <w:rPr>
          <w:sz w:val="20"/>
          <w:szCs w:val="20"/>
          <w:lang w:val="en-US"/>
        </w:rPr>
        <w:t>/introductory report</w:t>
      </w:r>
      <w:r w:rsidR="008E5C1D" w:rsidRPr="00FC1817">
        <w:rPr>
          <w:sz w:val="20"/>
          <w:szCs w:val="20"/>
          <w:lang w:val="en-US"/>
        </w:rPr>
        <w:t xml:space="preserve"> </w:t>
      </w:r>
      <w:r w:rsidRPr="00FC1817">
        <w:rPr>
          <w:sz w:val="20"/>
          <w:szCs w:val="20"/>
          <w:lang w:val="en-US"/>
        </w:rPr>
        <w:t>or are submitted in a separate email.</w:t>
      </w:r>
    </w:p>
    <w:p w14:paraId="2DFA9FA3" w14:textId="1EBAB617" w:rsidR="0090231C" w:rsidRDefault="000013F0" w:rsidP="0002001C">
      <w:pPr>
        <w:pStyle w:val="Heading2"/>
      </w:pPr>
      <w:bookmarkStart w:id="32" w:name="_Toc314484298"/>
      <w:bookmarkStart w:id="33" w:name="_Toc314486054"/>
      <w:bookmarkStart w:id="34" w:name="_Toc410720267"/>
      <w:bookmarkStart w:id="35" w:name="_Toc50730098"/>
      <w:r w:rsidRPr="00A76040">
        <w:t xml:space="preserve">Information </w:t>
      </w:r>
      <w:r w:rsidR="00FE5933" w:rsidRPr="00A76040">
        <w:t>about</w:t>
      </w:r>
      <w:r w:rsidRPr="00A76040">
        <w:t xml:space="preserve"> the </w:t>
      </w:r>
      <w:bookmarkEnd w:id="32"/>
      <w:bookmarkEnd w:id="33"/>
      <w:bookmarkEnd w:id="34"/>
      <w:bookmarkEnd w:id="35"/>
      <w:r w:rsidR="00A432C1">
        <w:t>Issuer and the Issuer’s advisors</w:t>
      </w:r>
    </w:p>
    <w:p w14:paraId="7B8EF363" w14:textId="0EFD3765" w:rsidR="0002001C" w:rsidRPr="0002001C" w:rsidRDefault="0002001C" w:rsidP="00C8240D">
      <w:pPr>
        <w:pStyle w:val="test"/>
        <w:numPr>
          <w:ilvl w:val="0"/>
          <w:numId w:val="3"/>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390"/>
        <w:gridCol w:w="4447"/>
      </w:tblGrid>
      <w:tr w:rsidR="0002001C" w:rsidRPr="002601C8" w14:paraId="341745F2" w14:textId="77777777" w:rsidTr="0002001C">
        <w:trPr>
          <w:trHeight w:val="273"/>
        </w:trPr>
        <w:tc>
          <w:tcPr>
            <w:tcW w:w="2484" w:type="pct"/>
            <w:shd w:val="clear" w:color="auto" w:fill="F3F3F3"/>
          </w:tcPr>
          <w:p w14:paraId="2EEBFDE1"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Company name:</w:t>
            </w:r>
          </w:p>
        </w:tc>
        <w:tc>
          <w:tcPr>
            <w:tcW w:w="2516" w:type="pct"/>
            <w:shd w:val="clear" w:color="auto" w:fill="auto"/>
          </w:tcPr>
          <w:p w14:paraId="2E775C28" w14:textId="77777777" w:rsidR="0002001C" w:rsidRPr="00FC1817" w:rsidRDefault="0002001C" w:rsidP="0002001C">
            <w:pPr>
              <w:rPr>
                <w:rFonts w:eastAsiaTheme="minorEastAsia" w:cstheme="minorHAnsi"/>
                <w:sz w:val="20"/>
                <w:szCs w:val="20"/>
                <w:lang w:val="en-GB"/>
              </w:rPr>
            </w:pPr>
          </w:p>
        </w:tc>
      </w:tr>
      <w:tr w:rsidR="0002001C" w:rsidRPr="002601C8" w14:paraId="1B9B5DDE" w14:textId="77777777" w:rsidTr="0002001C">
        <w:trPr>
          <w:trHeight w:val="273"/>
        </w:trPr>
        <w:tc>
          <w:tcPr>
            <w:tcW w:w="2484" w:type="pct"/>
            <w:shd w:val="clear" w:color="auto" w:fill="F3F3F3"/>
          </w:tcPr>
          <w:p w14:paraId="7BE31F77"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Legal status of entity:</w:t>
            </w:r>
          </w:p>
        </w:tc>
        <w:tc>
          <w:tcPr>
            <w:tcW w:w="2516" w:type="pct"/>
            <w:shd w:val="clear" w:color="auto" w:fill="auto"/>
          </w:tcPr>
          <w:p w14:paraId="533B0E2B" w14:textId="77777777" w:rsidR="0002001C" w:rsidRPr="00FC1817" w:rsidRDefault="0002001C" w:rsidP="0002001C">
            <w:pPr>
              <w:rPr>
                <w:rFonts w:eastAsiaTheme="minorEastAsia" w:cstheme="minorHAnsi"/>
                <w:sz w:val="20"/>
                <w:szCs w:val="20"/>
                <w:lang w:val="en-GB"/>
              </w:rPr>
            </w:pPr>
          </w:p>
        </w:tc>
      </w:tr>
      <w:tr w:rsidR="0002001C" w:rsidRPr="00706E66" w14:paraId="024D492D" w14:textId="77777777" w:rsidTr="0002001C">
        <w:tc>
          <w:tcPr>
            <w:tcW w:w="2484" w:type="pct"/>
            <w:shd w:val="clear" w:color="auto" w:fill="F3F3F3"/>
          </w:tcPr>
          <w:p w14:paraId="326CC3BF"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Domicile (country of incorporation/registration):</w:t>
            </w:r>
          </w:p>
        </w:tc>
        <w:tc>
          <w:tcPr>
            <w:tcW w:w="2516" w:type="pct"/>
            <w:shd w:val="clear" w:color="auto" w:fill="auto"/>
          </w:tcPr>
          <w:p w14:paraId="119E55C6" w14:textId="77777777" w:rsidR="0002001C" w:rsidRPr="00FC1817" w:rsidRDefault="0002001C" w:rsidP="0002001C">
            <w:pPr>
              <w:rPr>
                <w:rFonts w:eastAsiaTheme="minorEastAsia" w:cstheme="minorHAnsi"/>
                <w:sz w:val="20"/>
                <w:szCs w:val="20"/>
                <w:lang w:val="en-GB"/>
              </w:rPr>
            </w:pPr>
          </w:p>
        </w:tc>
      </w:tr>
      <w:tr w:rsidR="0002001C" w:rsidRPr="00AD2C85" w14:paraId="33997C5C" w14:textId="77777777" w:rsidTr="0002001C">
        <w:tc>
          <w:tcPr>
            <w:tcW w:w="2484" w:type="pct"/>
            <w:shd w:val="clear" w:color="auto" w:fill="F3F3F3"/>
          </w:tcPr>
          <w:p w14:paraId="69FCF852" w14:textId="3C4697A4" w:rsidR="0002001C" w:rsidRPr="00FC1817" w:rsidRDefault="0002001C" w:rsidP="0002001C">
            <w:pPr>
              <w:rPr>
                <w:rFonts w:eastAsiaTheme="minorEastAsia" w:cstheme="minorHAnsi"/>
                <w:sz w:val="20"/>
                <w:szCs w:val="20"/>
                <w:lang w:val="en-GB"/>
              </w:rPr>
            </w:pPr>
            <w:r>
              <w:rPr>
                <w:rFonts w:eastAsiaTheme="minorEastAsia" w:cstheme="minorHAnsi"/>
                <w:sz w:val="20"/>
                <w:szCs w:val="20"/>
                <w:lang w:val="en-GB"/>
              </w:rPr>
              <w:t>ICB cod</w:t>
            </w:r>
            <w:r w:rsidRPr="00F0207D">
              <w:rPr>
                <w:rFonts w:eastAsiaTheme="minorEastAsia" w:cstheme="minorHAnsi"/>
                <w:sz w:val="20"/>
                <w:szCs w:val="20"/>
                <w:lang w:val="en-GB"/>
              </w:rPr>
              <w:t xml:space="preserve">e (cf. Notice </w:t>
            </w:r>
            <w:r w:rsidR="009919C0" w:rsidRPr="00F0207D">
              <w:rPr>
                <w:rFonts w:eastAsiaTheme="minorEastAsia" w:cstheme="minorHAnsi"/>
                <w:sz w:val="20"/>
                <w:szCs w:val="20"/>
                <w:lang w:val="en-GB"/>
              </w:rPr>
              <w:t>2</w:t>
            </w:r>
            <w:r w:rsidRPr="00F0207D">
              <w:rPr>
                <w:rFonts w:eastAsiaTheme="minorEastAsia" w:cstheme="minorHAnsi"/>
                <w:sz w:val="20"/>
                <w:szCs w:val="20"/>
                <w:lang w:val="en-GB"/>
              </w:rPr>
              <w:t>.</w:t>
            </w:r>
            <w:r w:rsidR="009919C0" w:rsidRPr="00F0207D">
              <w:rPr>
                <w:rFonts w:eastAsiaTheme="minorEastAsia" w:cstheme="minorHAnsi"/>
                <w:sz w:val="20"/>
                <w:szCs w:val="20"/>
                <w:lang w:val="en-GB"/>
              </w:rPr>
              <w:t>2</w:t>
            </w:r>
            <w:r w:rsidRPr="00F0207D">
              <w:rPr>
                <w:rFonts w:eastAsiaTheme="minorEastAsia" w:cstheme="minorHAnsi"/>
                <w:sz w:val="20"/>
                <w:szCs w:val="20"/>
                <w:lang w:val="en-GB"/>
              </w:rPr>
              <w:t xml:space="preserve"> section 2 (2) item 27):</w:t>
            </w:r>
          </w:p>
        </w:tc>
        <w:tc>
          <w:tcPr>
            <w:tcW w:w="2516" w:type="pct"/>
            <w:shd w:val="clear" w:color="auto" w:fill="auto"/>
          </w:tcPr>
          <w:p w14:paraId="28CF4BBE" w14:textId="77777777" w:rsidR="0002001C" w:rsidRPr="00FC1817" w:rsidRDefault="0002001C" w:rsidP="0002001C">
            <w:pPr>
              <w:rPr>
                <w:rFonts w:eastAsiaTheme="minorEastAsia" w:cstheme="minorHAnsi"/>
                <w:sz w:val="20"/>
                <w:szCs w:val="20"/>
                <w:lang w:val="en-GB"/>
              </w:rPr>
            </w:pPr>
          </w:p>
        </w:tc>
      </w:tr>
      <w:tr w:rsidR="0002001C" w:rsidRPr="00706E66" w14:paraId="34BAD2B9" w14:textId="77777777" w:rsidTr="0002001C">
        <w:tc>
          <w:tcPr>
            <w:tcW w:w="2484" w:type="pct"/>
            <w:shd w:val="clear" w:color="auto" w:fill="F3F3F3"/>
          </w:tcPr>
          <w:p w14:paraId="2244A213"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Share capital, number of Shares and par value:</w:t>
            </w:r>
          </w:p>
        </w:tc>
        <w:tc>
          <w:tcPr>
            <w:tcW w:w="2516" w:type="pct"/>
            <w:shd w:val="clear" w:color="auto" w:fill="auto"/>
          </w:tcPr>
          <w:p w14:paraId="3E0A85C6" w14:textId="77777777" w:rsidR="0002001C" w:rsidRPr="00FC1817" w:rsidRDefault="0002001C" w:rsidP="0002001C">
            <w:pPr>
              <w:rPr>
                <w:rFonts w:eastAsiaTheme="minorEastAsia" w:cstheme="minorHAnsi"/>
                <w:sz w:val="20"/>
                <w:szCs w:val="20"/>
                <w:lang w:val="en-GB"/>
              </w:rPr>
            </w:pPr>
          </w:p>
        </w:tc>
      </w:tr>
      <w:tr w:rsidR="0002001C" w:rsidRPr="00706E66" w14:paraId="63E36A92" w14:textId="77777777" w:rsidTr="0002001C">
        <w:tc>
          <w:tcPr>
            <w:tcW w:w="2484" w:type="pct"/>
            <w:shd w:val="clear" w:color="auto" w:fill="F3F3F3"/>
          </w:tcPr>
          <w:p w14:paraId="7E32DC38"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Number of shareholders holding Shares with a value of at least NOK 5,000:</w:t>
            </w:r>
          </w:p>
        </w:tc>
        <w:tc>
          <w:tcPr>
            <w:tcW w:w="2516" w:type="pct"/>
            <w:shd w:val="clear" w:color="auto" w:fill="auto"/>
          </w:tcPr>
          <w:p w14:paraId="00374875" w14:textId="77777777" w:rsidR="0002001C" w:rsidRPr="00FC1817" w:rsidRDefault="0002001C" w:rsidP="0002001C">
            <w:pPr>
              <w:rPr>
                <w:rFonts w:eastAsiaTheme="minorEastAsia" w:cstheme="minorHAnsi"/>
                <w:sz w:val="20"/>
                <w:szCs w:val="20"/>
                <w:lang w:val="en-GB"/>
              </w:rPr>
            </w:pPr>
          </w:p>
        </w:tc>
      </w:tr>
      <w:tr w:rsidR="0002001C" w:rsidRPr="00706E66" w14:paraId="3FFEC084" w14:textId="77777777" w:rsidTr="0002001C">
        <w:tc>
          <w:tcPr>
            <w:tcW w:w="2484" w:type="pct"/>
            <w:shd w:val="clear" w:color="auto" w:fill="F3F3F3"/>
          </w:tcPr>
          <w:p w14:paraId="267C5A7A"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 xml:space="preserve">Market capitalisation (or estimate thereof): </w:t>
            </w:r>
          </w:p>
        </w:tc>
        <w:tc>
          <w:tcPr>
            <w:tcW w:w="2516" w:type="pct"/>
            <w:shd w:val="clear" w:color="auto" w:fill="auto"/>
          </w:tcPr>
          <w:p w14:paraId="0BA7D0B7" w14:textId="77777777" w:rsidR="0002001C" w:rsidRPr="00FC1817" w:rsidRDefault="0002001C" w:rsidP="0002001C">
            <w:pPr>
              <w:rPr>
                <w:rFonts w:eastAsiaTheme="minorEastAsia" w:cstheme="minorHAnsi"/>
                <w:sz w:val="20"/>
                <w:szCs w:val="20"/>
                <w:lang w:val="en-GB"/>
              </w:rPr>
            </w:pPr>
          </w:p>
        </w:tc>
      </w:tr>
      <w:tr w:rsidR="0002001C" w:rsidRPr="002601C8" w14:paraId="6B6E5032" w14:textId="77777777" w:rsidTr="0002001C">
        <w:tc>
          <w:tcPr>
            <w:tcW w:w="2484" w:type="pct"/>
            <w:shd w:val="clear" w:color="auto" w:fill="F3F3F3"/>
          </w:tcPr>
          <w:p w14:paraId="2B2C5F19"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Date of incorporation:</w:t>
            </w:r>
          </w:p>
        </w:tc>
        <w:tc>
          <w:tcPr>
            <w:tcW w:w="2516" w:type="pct"/>
            <w:shd w:val="clear" w:color="auto" w:fill="auto"/>
          </w:tcPr>
          <w:p w14:paraId="6048FF12" w14:textId="77777777" w:rsidR="0002001C" w:rsidRPr="00FC1817" w:rsidRDefault="0002001C" w:rsidP="0002001C">
            <w:pPr>
              <w:rPr>
                <w:rFonts w:eastAsiaTheme="minorEastAsia" w:cstheme="minorHAnsi"/>
                <w:sz w:val="20"/>
                <w:szCs w:val="20"/>
                <w:lang w:val="en-GB"/>
              </w:rPr>
            </w:pPr>
          </w:p>
        </w:tc>
      </w:tr>
      <w:tr w:rsidR="0002001C" w:rsidRPr="002601C8" w14:paraId="41DC294F" w14:textId="77777777" w:rsidTr="0002001C">
        <w:trPr>
          <w:trHeight w:val="291"/>
        </w:trPr>
        <w:tc>
          <w:tcPr>
            <w:tcW w:w="2484" w:type="pct"/>
            <w:shd w:val="clear" w:color="auto" w:fill="F3F3F3"/>
          </w:tcPr>
          <w:p w14:paraId="02077545"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Type of business activities:</w:t>
            </w:r>
          </w:p>
        </w:tc>
        <w:tc>
          <w:tcPr>
            <w:tcW w:w="2516" w:type="pct"/>
            <w:shd w:val="clear" w:color="auto" w:fill="auto"/>
          </w:tcPr>
          <w:p w14:paraId="732A8924" w14:textId="77777777" w:rsidR="0002001C" w:rsidRPr="00FC1817" w:rsidRDefault="0002001C" w:rsidP="0002001C">
            <w:pPr>
              <w:rPr>
                <w:rFonts w:eastAsiaTheme="minorEastAsia" w:cstheme="minorHAnsi"/>
                <w:sz w:val="20"/>
                <w:szCs w:val="20"/>
                <w:lang w:val="en-GB"/>
              </w:rPr>
            </w:pPr>
          </w:p>
        </w:tc>
      </w:tr>
      <w:tr w:rsidR="0002001C" w:rsidRPr="002601C8" w14:paraId="5BB1A2B1" w14:textId="77777777" w:rsidTr="0002001C">
        <w:tc>
          <w:tcPr>
            <w:tcW w:w="2484" w:type="pct"/>
            <w:shd w:val="clear" w:color="auto" w:fill="F3F3F3"/>
          </w:tcPr>
          <w:p w14:paraId="36299697"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Business address:</w:t>
            </w:r>
          </w:p>
        </w:tc>
        <w:tc>
          <w:tcPr>
            <w:tcW w:w="2516" w:type="pct"/>
            <w:shd w:val="clear" w:color="auto" w:fill="auto"/>
          </w:tcPr>
          <w:p w14:paraId="7482DEFE" w14:textId="77777777" w:rsidR="0002001C" w:rsidRPr="00FC1817" w:rsidRDefault="0002001C" w:rsidP="0002001C">
            <w:pPr>
              <w:rPr>
                <w:rFonts w:eastAsiaTheme="minorEastAsia" w:cstheme="minorHAnsi"/>
                <w:sz w:val="20"/>
                <w:szCs w:val="20"/>
                <w:lang w:val="en-GB"/>
              </w:rPr>
            </w:pPr>
          </w:p>
        </w:tc>
      </w:tr>
      <w:tr w:rsidR="0002001C" w:rsidRPr="002601C8" w14:paraId="1D56D059" w14:textId="77777777" w:rsidTr="0002001C">
        <w:tc>
          <w:tcPr>
            <w:tcW w:w="2484" w:type="pct"/>
            <w:shd w:val="clear" w:color="auto" w:fill="F3F3F3"/>
          </w:tcPr>
          <w:p w14:paraId="48BB5A35"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Number of employees:</w:t>
            </w:r>
          </w:p>
        </w:tc>
        <w:tc>
          <w:tcPr>
            <w:tcW w:w="2516" w:type="pct"/>
            <w:shd w:val="clear" w:color="auto" w:fill="auto"/>
          </w:tcPr>
          <w:p w14:paraId="56809166" w14:textId="77777777" w:rsidR="0002001C" w:rsidRPr="00FC1817" w:rsidRDefault="0002001C" w:rsidP="0002001C">
            <w:pPr>
              <w:rPr>
                <w:rFonts w:eastAsiaTheme="minorEastAsia" w:cstheme="minorHAnsi"/>
                <w:sz w:val="20"/>
                <w:szCs w:val="20"/>
                <w:lang w:val="en-GB"/>
              </w:rPr>
            </w:pPr>
          </w:p>
        </w:tc>
      </w:tr>
      <w:tr w:rsidR="0002001C" w:rsidRPr="002601C8" w14:paraId="64D3144A" w14:textId="77777777" w:rsidTr="0002001C">
        <w:tc>
          <w:tcPr>
            <w:tcW w:w="2484" w:type="pct"/>
            <w:shd w:val="clear" w:color="auto" w:fill="F3F3F3"/>
          </w:tcPr>
          <w:p w14:paraId="26839517"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Auditor of the Issuer:</w:t>
            </w:r>
          </w:p>
        </w:tc>
        <w:tc>
          <w:tcPr>
            <w:tcW w:w="2516" w:type="pct"/>
            <w:shd w:val="clear" w:color="auto" w:fill="auto"/>
          </w:tcPr>
          <w:p w14:paraId="20FB5405" w14:textId="77777777" w:rsidR="0002001C" w:rsidRPr="00FC1817" w:rsidRDefault="0002001C" w:rsidP="0002001C">
            <w:pPr>
              <w:rPr>
                <w:rFonts w:eastAsiaTheme="minorEastAsia" w:cstheme="minorHAnsi"/>
                <w:sz w:val="20"/>
                <w:szCs w:val="20"/>
                <w:lang w:val="en-GB"/>
              </w:rPr>
            </w:pPr>
          </w:p>
        </w:tc>
      </w:tr>
      <w:tr w:rsidR="0002001C" w:rsidRPr="00706E66" w14:paraId="72ACE688" w14:textId="77777777" w:rsidTr="0002001C">
        <w:tc>
          <w:tcPr>
            <w:tcW w:w="2484" w:type="pct"/>
            <w:shd w:val="clear" w:color="auto" w:fill="F3F3F3"/>
          </w:tcPr>
          <w:p w14:paraId="10BE37DF"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Legal advisor (if any) of the Issuer in connection with the admission to trading:</w:t>
            </w:r>
          </w:p>
        </w:tc>
        <w:tc>
          <w:tcPr>
            <w:tcW w:w="2516" w:type="pct"/>
            <w:shd w:val="clear" w:color="auto" w:fill="auto"/>
          </w:tcPr>
          <w:p w14:paraId="6C722972" w14:textId="77777777" w:rsidR="0002001C" w:rsidRPr="00FC1817" w:rsidRDefault="0002001C" w:rsidP="0002001C">
            <w:pPr>
              <w:rPr>
                <w:rFonts w:eastAsiaTheme="minorEastAsia" w:cstheme="minorHAnsi"/>
                <w:sz w:val="20"/>
                <w:szCs w:val="20"/>
                <w:lang w:val="en-GB"/>
              </w:rPr>
            </w:pPr>
          </w:p>
        </w:tc>
      </w:tr>
      <w:tr w:rsidR="0002001C" w:rsidRPr="00706E66" w14:paraId="29F8E42F" w14:textId="77777777" w:rsidTr="0002001C">
        <w:tc>
          <w:tcPr>
            <w:tcW w:w="2484" w:type="pct"/>
            <w:shd w:val="clear" w:color="auto" w:fill="F3F3F3"/>
          </w:tcPr>
          <w:p w14:paraId="6E14F3CD"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Euronext Growth Advisor in connection with the admission to trading:</w:t>
            </w:r>
          </w:p>
        </w:tc>
        <w:tc>
          <w:tcPr>
            <w:tcW w:w="2516" w:type="pct"/>
            <w:shd w:val="clear" w:color="auto" w:fill="auto"/>
          </w:tcPr>
          <w:p w14:paraId="34D9FE2D" w14:textId="77777777" w:rsidR="0002001C" w:rsidRPr="00FC1817" w:rsidRDefault="0002001C" w:rsidP="0002001C">
            <w:pPr>
              <w:rPr>
                <w:rFonts w:eastAsiaTheme="minorEastAsia" w:cstheme="minorHAnsi"/>
                <w:sz w:val="20"/>
                <w:szCs w:val="20"/>
                <w:lang w:val="en-GB"/>
              </w:rPr>
            </w:pPr>
          </w:p>
        </w:tc>
      </w:tr>
      <w:tr w:rsidR="0002001C" w:rsidRPr="00492432" w14:paraId="7F0822C1" w14:textId="77777777" w:rsidTr="0002001C">
        <w:tc>
          <w:tcPr>
            <w:tcW w:w="2484" w:type="pct"/>
            <w:shd w:val="clear" w:color="auto" w:fill="F3F3F3"/>
          </w:tcPr>
          <w:p w14:paraId="4C569EC3"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Legal due diligence advisor:</w:t>
            </w:r>
          </w:p>
        </w:tc>
        <w:tc>
          <w:tcPr>
            <w:tcW w:w="2516" w:type="pct"/>
            <w:shd w:val="clear" w:color="auto" w:fill="auto"/>
          </w:tcPr>
          <w:p w14:paraId="321587D1" w14:textId="77777777" w:rsidR="0002001C" w:rsidRPr="00FC1817" w:rsidRDefault="0002001C" w:rsidP="0002001C">
            <w:pPr>
              <w:rPr>
                <w:rFonts w:eastAsiaTheme="minorEastAsia" w:cstheme="minorHAnsi"/>
                <w:sz w:val="20"/>
                <w:szCs w:val="20"/>
                <w:lang w:val="en-GB"/>
              </w:rPr>
            </w:pPr>
          </w:p>
        </w:tc>
      </w:tr>
      <w:tr w:rsidR="0002001C" w:rsidRPr="00492432" w14:paraId="1F16A73D" w14:textId="77777777" w:rsidTr="0002001C">
        <w:tc>
          <w:tcPr>
            <w:tcW w:w="2484" w:type="pct"/>
            <w:shd w:val="clear" w:color="auto" w:fill="F3F3F3"/>
          </w:tcPr>
          <w:p w14:paraId="762A5167"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Financial due diligence advisor:</w:t>
            </w:r>
          </w:p>
        </w:tc>
        <w:tc>
          <w:tcPr>
            <w:tcW w:w="2516" w:type="pct"/>
            <w:shd w:val="clear" w:color="auto" w:fill="auto"/>
          </w:tcPr>
          <w:p w14:paraId="5081D008" w14:textId="77777777" w:rsidR="0002001C" w:rsidRPr="00FC1817" w:rsidRDefault="0002001C" w:rsidP="0002001C">
            <w:pPr>
              <w:rPr>
                <w:rFonts w:eastAsiaTheme="minorEastAsia" w:cstheme="minorHAnsi"/>
                <w:sz w:val="20"/>
                <w:szCs w:val="20"/>
                <w:lang w:val="en-GB"/>
              </w:rPr>
            </w:pPr>
          </w:p>
        </w:tc>
      </w:tr>
      <w:tr w:rsidR="0002001C" w:rsidRPr="00706E66" w14:paraId="0F3C5FB9" w14:textId="77777777" w:rsidTr="0002001C">
        <w:trPr>
          <w:trHeight w:val="67"/>
        </w:trPr>
        <w:tc>
          <w:tcPr>
            <w:tcW w:w="2484" w:type="pct"/>
            <w:shd w:val="clear" w:color="auto" w:fill="F3F3F3"/>
          </w:tcPr>
          <w:p w14:paraId="431A8AF4"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lastRenderedPageBreak/>
              <w:t>Date requested for admission to trading:</w:t>
            </w:r>
          </w:p>
        </w:tc>
        <w:tc>
          <w:tcPr>
            <w:tcW w:w="2516" w:type="pct"/>
            <w:shd w:val="clear" w:color="auto" w:fill="auto"/>
          </w:tcPr>
          <w:p w14:paraId="6C518A87" w14:textId="77777777" w:rsidR="0002001C" w:rsidRPr="00FC1817" w:rsidRDefault="0002001C" w:rsidP="0002001C">
            <w:pPr>
              <w:rPr>
                <w:rFonts w:eastAsiaTheme="minorEastAsia" w:cstheme="minorHAnsi"/>
                <w:sz w:val="20"/>
                <w:szCs w:val="20"/>
                <w:lang w:val="en-GB"/>
              </w:rPr>
            </w:pPr>
          </w:p>
        </w:tc>
      </w:tr>
      <w:tr w:rsidR="0002001C" w:rsidRPr="00706E66" w14:paraId="06F79C87" w14:textId="77777777" w:rsidTr="0002001C">
        <w:trPr>
          <w:trHeight w:val="67"/>
        </w:trPr>
        <w:tc>
          <w:tcPr>
            <w:tcW w:w="2484" w:type="pct"/>
            <w:shd w:val="clear" w:color="auto" w:fill="F3F3F3"/>
          </w:tcPr>
          <w:p w14:paraId="1A30E74B" w14:textId="6C524D70"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Ordinary</w:t>
            </w:r>
            <w:r w:rsidR="00DB1995">
              <w:rPr>
                <w:rFonts w:eastAsiaTheme="minorEastAsia" w:cstheme="minorHAnsi"/>
                <w:sz w:val="20"/>
                <w:szCs w:val="20"/>
                <w:lang w:val="en-GB"/>
              </w:rPr>
              <w:t>, flexible</w:t>
            </w:r>
            <w:r w:rsidRPr="00FC1817">
              <w:rPr>
                <w:rFonts w:eastAsiaTheme="minorEastAsia" w:cstheme="minorHAnsi"/>
                <w:sz w:val="20"/>
                <w:szCs w:val="20"/>
                <w:lang w:val="en-GB"/>
              </w:rPr>
              <w:t xml:space="preserve"> or fast-track admission process:</w:t>
            </w:r>
          </w:p>
        </w:tc>
        <w:tc>
          <w:tcPr>
            <w:tcW w:w="2516" w:type="pct"/>
            <w:shd w:val="clear" w:color="auto" w:fill="auto"/>
          </w:tcPr>
          <w:p w14:paraId="6125ECBB" w14:textId="77777777" w:rsidR="0002001C" w:rsidRPr="00FC1817" w:rsidRDefault="0002001C" w:rsidP="0002001C">
            <w:pPr>
              <w:rPr>
                <w:rFonts w:eastAsiaTheme="minorEastAsia" w:cstheme="minorHAnsi"/>
                <w:sz w:val="20"/>
                <w:szCs w:val="20"/>
                <w:lang w:val="en-GB"/>
              </w:rPr>
            </w:pPr>
          </w:p>
        </w:tc>
      </w:tr>
      <w:tr w:rsidR="0002001C" w:rsidRPr="00706E66" w14:paraId="37E3187F" w14:textId="77777777" w:rsidTr="0002001C">
        <w:trPr>
          <w:trHeight w:val="67"/>
        </w:trPr>
        <w:tc>
          <w:tcPr>
            <w:tcW w:w="2484" w:type="pct"/>
            <w:shd w:val="clear" w:color="auto" w:fill="F3F3F3"/>
          </w:tcPr>
          <w:p w14:paraId="643C8B4E" w14:textId="77777777" w:rsidR="0002001C" w:rsidRPr="00FC1817" w:rsidRDefault="0002001C" w:rsidP="0002001C">
            <w:pPr>
              <w:rPr>
                <w:rFonts w:eastAsiaTheme="minorEastAsia" w:cstheme="minorHAnsi"/>
                <w:sz w:val="20"/>
                <w:szCs w:val="20"/>
                <w:lang w:val="en-GB"/>
              </w:rPr>
            </w:pPr>
            <w:r w:rsidRPr="00FC1817">
              <w:rPr>
                <w:rFonts w:eastAsiaTheme="minorEastAsia" w:cstheme="minorHAnsi"/>
                <w:sz w:val="20"/>
                <w:szCs w:val="20"/>
                <w:lang w:val="en-GB"/>
              </w:rPr>
              <w:t>Any exemptions applied for? Provide details here:</w:t>
            </w:r>
          </w:p>
        </w:tc>
        <w:tc>
          <w:tcPr>
            <w:tcW w:w="2516" w:type="pct"/>
            <w:shd w:val="clear" w:color="auto" w:fill="auto"/>
          </w:tcPr>
          <w:p w14:paraId="01B92C3F" w14:textId="77777777" w:rsidR="0002001C" w:rsidRPr="00FC1817" w:rsidRDefault="0002001C" w:rsidP="0002001C">
            <w:pPr>
              <w:rPr>
                <w:rFonts w:eastAsiaTheme="minorEastAsia" w:cstheme="minorHAnsi"/>
                <w:sz w:val="20"/>
                <w:szCs w:val="20"/>
                <w:lang w:val="en-GB"/>
              </w:rPr>
            </w:pPr>
          </w:p>
        </w:tc>
      </w:tr>
    </w:tbl>
    <w:p w14:paraId="624A56EE" w14:textId="77777777" w:rsidR="003F1707" w:rsidRDefault="003F1707" w:rsidP="0090231C">
      <w:pPr>
        <w:rPr>
          <w:rFonts w:eastAsiaTheme="minorEastAsia"/>
          <w:sz w:val="18"/>
          <w:szCs w:val="18"/>
          <w:lang w:val="en-GB"/>
        </w:rPr>
      </w:pPr>
    </w:p>
    <w:p w14:paraId="59A279A2" w14:textId="77777777" w:rsidR="0002001C" w:rsidRPr="0002001C" w:rsidRDefault="0002001C" w:rsidP="0002001C">
      <w:pPr>
        <w:rPr>
          <w:sz w:val="20"/>
          <w:u w:val="single"/>
          <w:lang w:val="en-US"/>
        </w:rPr>
      </w:pPr>
      <w:r w:rsidRPr="0002001C">
        <w:rPr>
          <w:sz w:val="20"/>
          <w:u w:val="single"/>
          <w:lang w:val="en-US"/>
        </w:rPr>
        <w:t xml:space="preserve">Brief description of the Issuer’s business concept and activities </w:t>
      </w:r>
    </w:p>
    <w:p w14:paraId="4921159E" w14:textId="77777777" w:rsidR="0002001C" w:rsidRPr="00FC1817" w:rsidRDefault="0002001C" w:rsidP="0002001C">
      <w:pPr>
        <w:rPr>
          <w:sz w:val="20"/>
          <w:szCs w:val="20"/>
          <w:lang w:val="en-US"/>
        </w:rPr>
      </w:pPr>
    </w:p>
    <w:p w14:paraId="1547191B" w14:textId="42AC0E18" w:rsidR="0002001C" w:rsidRPr="00FC1817" w:rsidRDefault="0002001C" w:rsidP="00E76051">
      <w:pPr>
        <w:pStyle w:val="test"/>
        <w:numPr>
          <w:ilvl w:val="0"/>
          <w:numId w:val="3"/>
        </w:numPr>
        <w:spacing w:after="120" w:line="240" w:lineRule="auto"/>
        <w:ind w:left="714" w:hanging="357"/>
        <w:jc w:val="both"/>
        <w:rPr>
          <w:rFonts w:asciiTheme="minorHAnsi" w:hAnsiTheme="minorHAnsi" w:cstheme="minorHAnsi"/>
          <w:sz w:val="20"/>
          <w:lang w:val="en-GB"/>
        </w:rPr>
      </w:pPr>
      <w:r w:rsidRPr="00FC1817">
        <w:rPr>
          <w:rFonts w:asciiTheme="minorHAnsi" w:hAnsiTheme="minorHAnsi" w:cstheme="minorHAnsi"/>
          <w:sz w:val="20"/>
          <w:lang w:val="en-GB"/>
        </w:rPr>
        <w:t xml:space="preserve">Please provide </w:t>
      </w:r>
      <w:r w:rsidRPr="00961FED">
        <w:rPr>
          <w:rFonts w:asciiTheme="minorHAnsi" w:hAnsiTheme="minorHAnsi" w:cstheme="minorHAnsi"/>
          <w:sz w:val="20"/>
          <w:lang w:val="en-GB"/>
        </w:rPr>
        <w:t>a brief description of the Issuer’s business concept and activities</w:t>
      </w:r>
      <w:r w:rsidR="00890D50" w:rsidRPr="00961FED">
        <w:rPr>
          <w:rFonts w:asciiTheme="minorHAnsi" w:hAnsiTheme="minorHAnsi" w:cstheme="minorHAnsi"/>
          <w:sz w:val="20"/>
          <w:lang w:val="en-GB"/>
        </w:rPr>
        <w:t xml:space="preserve"> (cf. Notice </w:t>
      </w:r>
      <w:r w:rsidR="009919C0" w:rsidRPr="00961FED">
        <w:rPr>
          <w:rFonts w:asciiTheme="minorHAnsi" w:hAnsiTheme="minorHAnsi" w:cstheme="minorHAnsi"/>
          <w:sz w:val="20"/>
          <w:lang w:val="en-GB"/>
        </w:rPr>
        <w:t>2</w:t>
      </w:r>
      <w:r w:rsidR="00890D50" w:rsidRPr="00961FED">
        <w:rPr>
          <w:rFonts w:asciiTheme="minorHAnsi" w:hAnsiTheme="minorHAnsi" w:cstheme="minorHAnsi"/>
          <w:sz w:val="20"/>
          <w:lang w:val="en-GB"/>
        </w:rPr>
        <w:t>.</w:t>
      </w:r>
      <w:r w:rsidR="009919C0" w:rsidRPr="00961FED">
        <w:rPr>
          <w:rFonts w:asciiTheme="minorHAnsi" w:hAnsiTheme="minorHAnsi" w:cstheme="minorHAnsi"/>
          <w:sz w:val="20"/>
          <w:lang w:val="en-GB"/>
        </w:rPr>
        <w:t>2</w:t>
      </w:r>
      <w:r w:rsidR="00890D50" w:rsidRPr="00961FED">
        <w:rPr>
          <w:rFonts w:asciiTheme="minorHAnsi" w:hAnsiTheme="minorHAnsi" w:cstheme="minorHAnsi"/>
          <w:sz w:val="20"/>
          <w:lang w:val="en-GB"/>
        </w:rPr>
        <w:t xml:space="preserve"> section 2 (2) item 1)</w:t>
      </w:r>
      <w:r w:rsidRPr="00961FED">
        <w:rPr>
          <w:rFonts w:asciiTheme="minorHAnsi" w:hAnsiTheme="minorHAnsi" w:cstheme="minorHAnsi"/>
          <w:sz w:val="20"/>
          <w:lang w:val="en-GB"/>
        </w:rPr>
        <w:t>.</w:t>
      </w:r>
    </w:p>
    <w:p w14:paraId="639AD7F4" w14:textId="77777777" w:rsidR="0002001C" w:rsidRPr="00FC1817" w:rsidRDefault="0002001C" w:rsidP="00E76051">
      <w:pPr>
        <w:pStyle w:val="test"/>
        <w:numPr>
          <w:ilvl w:val="0"/>
          <w:numId w:val="3"/>
        </w:numPr>
        <w:spacing w:after="120" w:line="240" w:lineRule="auto"/>
        <w:ind w:left="714" w:hanging="357"/>
        <w:jc w:val="both"/>
        <w:rPr>
          <w:rFonts w:asciiTheme="minorHAnsi" w:hAnsiTheme="minorHAnsi" w:cstheme="minorHAnsi"/>
          <w:sz w:val="20"/>
          <w:lang w:val="en-GB"/>
        </w:rPr>
      </w:pPr>
      <w:r w:rsidRPr="00FC1817">
        <w:rPr>
          <w:rFonts w:asciiTheme="minorHAnsi" w:hAnsiTheme="minorHAnsi" w:cstheme="minorHAnsi"/>
          <w:sz w:val="20"/>
          <w:lang w:val="en-GB"/>
        </w:rPr>
        <w:t>Please provide a brief description of the history/other relevant information for the Issuer.</w:t>
      </w:r>
    </w:p>
    <w:p w14:paraId="465B9FDB" w14:textId="77777777" w:rsidR="0002001C" w:rsidRPr="0002001C" w:rsidRDefault="0002001C" w:rsidP="0002001C">
      <w:pPr>
        <w:rPr>
          <w:sz w:val="20"/>
          <w:u w:val="single"/>
          <w:lang w:val="en-US"/>
        </w:rPr>
      </w:pPr>
      <w:r w:rsidRPr="0002001C">
        <w:rPr>
          <w:sz w:val="20"/>
          <w:u w:val="single"/>
          <w:lang w:val="en-US"/>
        </w:rPr>
        <w:t>Brief presentation of the Issuer/group</w:t>
      </w:r>
    </w:p>
    <w:p w14:paraId="441063D5" w14:textId="77777777" w:rsidR="0002001C" w:rsidRPr="007C5634" w:rsidRDefault="0002001C" w:rsidP="0002001C">
      <w:pPr>
        <w:rPr>
          <w:sz w:val="20"/>
          <w:szCs w:val="20"/>
          <w:lang w:val="en-US"/>
        </w:rPr>
      </w:pPr>
    </w:p>
    <w:p w14:paraId="43D2C2F6" w14:textId="77777777" w:rsidR="0002001C" w:rsidRPr="00FC1817" w:rsidRDefault="0002001C" w:rsidP="00E76051">
      <w:pPr>
        <w:pStyle w:val="test"/>
        <w:numPr>
          <w:ilvl w:val="0"/>
          <w:numId w:val="4"/>
        </w:numPr>
        <w:spacing w:after="120" w:line="240" w:lineRule="auto"/>
        <w:ind w:left="714" w:hanging="357"/>
        <w:jc w:val="both"/>
        <w:rPr>
          <w:rFonts w:asciiTheme="minorHAnsi" w:hAnsiTheme="minorHAnsi" w:cstheme="minorHAnsi"/>
          <w:sz w:val="20"/>
          <w:lang w:val="en-GB"/>
        </w:rPr>
      </w:pPr>
      <w:r w:rsidRPr="00FC1817">
        <w:rPr>
          <w:rFonts w:asciiTheme="minorHAnsi" w:hAnsiTheme="minorHAnsi" w:cstheme="minorHAnsi"/>
          <w:sz w:val="20"/>
          <w:lang w:val="en-GB"/>
        </w:rPr>
        <w:t xml:space="preserve">Please briefly present the structure of the group, if relevant. If not a group, state this. If complicated, include a chart. </w:t>
      </w:r>
    </w:p>
    <w:p w14:paraId="078E3661" w14:textId="3CDCA3D2" w:rsidR="0002001C" w:rsidRPr="00FC1817" w:rsidRDefault="0002001C" w:rsidP="00E76051">
      <w:pPr>
        <w:pStyle w:val="test"/>
        <w:numPr>
          <w:ilvl w:val="0"/>
          <w:numId w:val="4"/>
        </w:numPr>
        <w:spacing w:after="120" w:line="240" w:lineRule="auto"/>
        <w:ind w:left="714" w:hanging="357"/>
        <w:jc w:val="both"/>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 xml:space="preserve">provide information on the percentage of ownership in significant companies </w:t>
      </w:r>
      <w:r w:rsidR="008E5C1D">
        <w:rPr>
          <w:rFonts w:asciiTheme="minorHAnsi" w:hAnsiTheme="minorHAnsi" w:cstheme="minorHAnsi"/>
          <w:sz w:val="20"/>
          <w:lang w:val="en-GB"/>
        </w:rPr>
        <w:t>o</w:t>
      </w:r>
      <w:r>
        <w:rPr>
          <w:rFonts w:asciiTheme="minorHAnsi" w:hAnsiTheme="minorHAnsi" w:cstheme="minorHAnsi"/>
          <w:sz w:val="20"/>
          <w:lang w:val="en-GB"/>
        </w:rPr>
        <w:t>f the group and the country of registration of each such company</w:t>
      </w:r>
      <w:r w:rsidRPr="00FC1817">
        <w:rPr>
          <w:rFonts w:asciiTheme="minorHAnsi" w:hAnsiTheme="minorHAnsi" w:cstheme="minorHAnsi"/>
          <w:sz w:val="20"/>
          <w:lang w:val="en-GB"/>
        </w:rPr>
        <w:t xml:space="preserve">. </w:t>
      </w:r>
    </w:p>
    <w:p w14:paraId="75C8E700" w14:textId="77777777" w:rsidR="0002001C" w:rsidRPr="0002001C" w:rsidRDefault="0002001C" w:rsidP="0002001C">
      <w:pPr>
        <w:rPr>
          <w:sz w:val="20"/>
          <w:u w:val="single"/>
          <w:lang w:val="en-US"/>
        </w:rPr>
      </w:pPr>
      <w:r w:rsidRPr="0002001C">
        <w:rPr>
          <w:sz w:val="20"/>
          <w:u w:val="single"/>
          <w:lang w:val="en-US"/>
        </w:rPr>
        <w:t xml:space="preserve">Application for exemption from provisions of the admission to trading rules / other information </w:t>
      </w:r>
    </w:p>
    <w:p w14:paraId="3752DAF2" w14:textId="77777777" w:rsidR="0002001C" w:rsidRPr="00FC1817" w:rsidRDefault="0002001C" w:rsidP="0002001C">
      <w:pPr>
        <w:rPr>
          <w:sz w:val="20"/>
          <w:szCs w:val="20"/>
          <w:lang w:val="en-US"/>
        </w:rPr>
      </w:pPr>
    </w:p>
    <w:p w14:paraId="00A637C8" w14:textId="77777777" w:rsidR="0002001C" w:rsidRPr="00FC1817" w:rsidRDefault="0002001C" w:rsidP="00E76051">
      <w:pPr>
        <w:pStyle w:val="test"/>
        <w:numPr>
          <w:ilvl w:val="0"/>
          <w:numId w:val="5"/>
        </w:numPr>
        <w:spacing w:after="120" w:line="240" w:lineRule="auto"/>
        <w:ind w:left="714" w:hanging="357"/>
        <w:jc w:val="both"/>
        <w:rPr>
          <w:rFonts w:asciiTheme="minorHAnsi" w:hAnsiTheme="minorHAnsi" w:cstheme="minorHAnsi"/>
          <w:sz w:val="20"/>
          <w:lang w:val="en-GB"/>
        </w:rPr>
      </w:pPr>
      <w:r w:rsidRPr="00FC1817">
        <w:rPr>
          <w:rFonts w:asciiTheme="minorHAnsi" w:hAnsiTheme="minorHAnsi" w:cstheme="minorHAnsi"/>
          <w:sz w:val="20"/>
          <w:lang w:val="en-GB"/>
        </w:rPr>
        <w:t xml:space="preserve">Please state </w:t>
      </w:r>
      <w:r>
        <w:rPr>
          <w:rFonts w:asciiTheme="minorHAnsi" w:hAnsiTheme="minorHAnsi" w:cstheme="minorHAnsi"/>
          <w:sz w:val="20"/>
          <w:lang w:val="en-GB"/>
        </w:rPr>
        <w:t>the basis for any applications for exemptions</w:t>
      </w:r>
      <w:r w:rsidRPr="00FC1817">
        <w:rPr>
          <w:rFonts w:asciiTheme="minorHAnsi" w:hAnsiTheme="minorHAnsi" w:cstheme="minorHAnsi"/>
          <w:sz w:val="20"/>
          <w:lang w:val="en-GB"/>
        </w:rPr>
        <w:t>.</w:t>
      </w:r>
    </w:p>
    <w:p w14:paraId="03B69A2C" w14:textId="724EF928" w:rsidR="0002001C" w:rsidRPr="00D87540" w:rsidRDefault="0002001C" w:rsidP="00E76051">
      <w:pPr>
        <w:pStyle w:val="test"/>
        <w:numPr>
          <w:ilvl w:val="0"/>
          <w:numId w:val="5"/>
        </w:numPr>
        <w:spacing w:after="120" w:line="240" w:lineRule="auto"/>
        <w:ind w:left="714" w:hanging="357"/>
        <w:jc w:val="both"/>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state whether the Issuer’s Shares are admitted to trading on a stock exchange, regulated market or any other marketplace, or whether admission to such trading has been applied for</w:t>
      </w:r>
      <w:r w:rsidRPr="00FC1817">
        <w:rPr>
          <w:rFonts w:asciiTheme="minorHAnsi" w:hAnsiTheme="minorHAnsi" w:cstheme="minorHAnsi"/>
          <w:sz w:val="20"/>
          <w:lang w:val="en-GB"/>
        </w:rPr>
        <w:t xml:space="preserve">. </w:t>
      </w:r>
      <w:r>
        <w:rPr>
          <w:rFonts w:asciiTheme="minorHAnsi" w:hAnsiTheme="minorHAnsi" w:cstheme="minorHAnsi"/>
          <w:sz w:val="20"/>
          <w:lang w:val="en-GB"/>
        </w:rPr>
        <w:t xml:space="preserve">If this is the case, information must be </w:t>
      </w:r>
      <w:r w:rsidRPr="00961FED">
        <w:rPr>
          <w:rFonts w:asciiTheme="minorHAnsi" w:hAnsiTheme="minorHAnsi" w:cstheme="minorHAnsi"/>
          <w:sz w:val="20"/>
          <w:lang w:val="en-GB"/>
        </w:rPr>
        <w:t xml:space="preserve">given on where the Shares are admitted to trading or are the subject of an application for trading. (Cf. </w:t>
      </w:r>
      <w:r w:rsidRPr="00961FED">
        <w:rPr>
          <w:rFonts w:asciiTheme="minorHAnsi" w:hAnsiTheme="minorHAnsi"/>
          <w:sz w:val="20"/>
          <w:lang w:val="en-GB"/>
        </w:rPr>
        <w:t xml:space="preserve">Notice </w:t>
      </w:r>
      <w:r w:rsidR="009919C0" w:rsidRPr="00961FED">
        <w:rPr>
          <w:rFonts w:asciiTheme="minorHAnsi" w:hAnsiTheme="minorHAnsi"/>
          <w:sz w:val="20"/>
          <w:lang w:val="en-GB"/>
        </w:rPr>
        <w:t>2</w:t>
      </w:r>
      <w:r w:rsidRPr="00961FED">
        <w:rPr>
          <w:rFonts w:asciiTheme="minorHAnsi" w:hAnsiTheme="minorHAnsi"/>
          <w:sz w:val="20"/>
          <w:lang w:val="en-GB"/>
        </w:rPr>
        <w:t>.</w:t>
      </w:r>
      <w:r w:rsidR="009919C0" w:rsidRPr="00961FED">
        <w:rPr>
          <w:rFonts w:asciiTheme="minorHAnsi" w:hAnsiTheme="minorHAnsi"/>
          <w:sz w:val="20"/>
          <w:lang w:val="en-GB"/>
        </w:rPr>
        <w:t>2</w:t>
      </w:r>
      <w:r w:rsidRPr="00961FED">
        <w:rPr>
          <w:rFonts w:asciiTheme="minorHAnsi" w:hAnsiTheme="minorHAnsi"/>
          <w:sz w:val="20"/>
          <w:lang w:val="en-GB"/>
        </w:rPr>
        <w:t xml:space="preserve"> section 2 (2) item 22).</w:t>
      </w:r>
    </w:p>
    <w:p w14:paraId="255AD1C9" w14:textId="040C0E69" w:rsidR="0002001C" w:rsidRPr="000D5B8C" w:rsidRDefault="0002001C" w:rsidP="00E76051">
      <w:pPr>
        <w:pStyle w:val="test"/>
        <w:numPr>
          <w:ilvl w:val="0"/>
          <w:numId w:val="5"/>
        </w:numPr>
        <w:spacing w:after="120" w:line="240" w:lineRule="auto"/>
        <w:ind w:left="714" w:hanging="357"/>
        <w:jc w:val="both"/>
        <w:rPr>
          <w:rFonts w:asciiTheme="minorHAnsi" w:hAnsiTheme="minorHAnsi" w:cstheme="minorHAnsi"/>
          <w:sz w:val="20"/>
          <w:lang w:val="en-GB"/>
        </w:rPr>
      </w:pPr>
      <w:r>
        <w:rPr>
          <w:rFonts w:asciiTheme="minorHAnsi" w:hAnsiTheme="minorHAnsi" w:cstheme="minorHAnsi"/>
          <w:sz w:val="20"/>
          <w:lang w:val="en-GB"/>
        </w:rPr>
        <w:t xml:space="preserve">Please state, where relevant, the </w:t>
      </w:r>
      <w:r w:rsidRPr="00961FED">
        <w:rPr>
          <w:rFonts w:asciiTheme="minorHAnsi" w:hAnsiTheme="minorHAnsi" w:cstheme="minorHAnsi"/>
          <w:sz w:val="20"/>
          <w:lang w:val="en-GB"/>
        </w:rPr>
        <w:t xml:space="preserve">Issuer’s home </w:t>
      </w:r>
      <w:r w:rsidR="009919C0" w:rsidRPr="00961FED">
        <w:rPr>
          <w:rFonts w:asciiTheme="minorHAnsi" w:hAnsiTheme="minorHAnsi" w:cstheme="minorHAnsi"/>
          <w:sz w:val="20"/>
          <w:lang w:val="en-GB"/>
        </w:rPr>
        <w:t xml:space="preserve">member </w:t>
      </w:r>
      <w:r w:rsidRPr="00961FED">
        <w:rPr>
          <w:rFonts w:asciiTheme="minorHAnsi" w:hAnsiTheme="minorHAnsi" w:cstheme="minorHAnsi"/>
          <w:sz w:val="20"/>
          <w:lang w:val="en-GB"/>
        </w:rPr>
        <w:t>state in the EEA pursuant to the Prospectus Regulation</w:t>
      </w:r>
      <w:r w:rsidR="00890D50" w:rsidRPr="00961FED">
        <w:rPr>
          <w:rFonts w:asciiTheme="minorHAnsi" w:hAnsiTheme="minorHAnsi" w:cstheme="minorHAnsi"/>
          <w:sz w:val="20"/>
          <w:lang w:val="en-GB"/>
        </w:rPr>
        <w:t xml:space="preserve"> (cf. Notice </w:t>
      </w:r>
      <w:r w:rsidR="009919C0" w:rsidRPr="00961FED">
        <w:rPr>
          <w:rFonts w:asciiTheme="minorHAnsi" w:hAnsiTheme="minorHAnsi" w:cstheme="minorHAnsi"/>
          <w:sz w:val="20"/>
          <w:lang w:val="en-GB"/>
        </w:rPr>
        <w:t>2</w:t>
      </w:r>
      <w:r w:rsidR="00890D50" w:rsidRPr="00961FED">
        <w:rPr>
          <w:rFonts w:asciiTheme="minorHAnsi" w:hAnsiTheme="minorHAnsi" w:cstheme="minorHAnsi"/>
          <w:sz w:val="20"/>
          <w:lang w:val="en-GB"/>
        </w:rPr>
        <w:t>.</w:t>
      </w:r>
      <w:r w:rsidR="009919C0" w:rsidRPr="00961FED">
        <w:rPr>
          <w:rFonts w:asciiTheme="minorHAnsi" w:hAnsiTheme="minorHAnsi" w:cstheme="minorHAnsi"/>
          <w:sz w:val="20"/>
          <w:lang w:val="en-GB"/>
        </w:rPr>
        <w:t>2</w:t>
      </w:r>
      <w:r w:rsidR="00890D50" w:rsidRPr="00961FED">
        <w:rPr>
          <w:rFonts w:asciiTheme="minorHAnsi" w:hAnsiTheme="minorHAnsi" w:cstheme="minorHAnsi"/>
          <w:sz w:val="20"/>
          <w:lang w:val="en-GB"/>
        </w:rPr>
        <w:t xml:space="preserve"> section 2 (2) item 24)</w:t>
      </w:r>
      <w:r w:rsidRPr="00961FED">
        <w:rPr>
          <w:rFonts w:asciiTheme="minorHAnsi" w:hAnsiTheme="minorHAnsi" w:cstheme="minorHAnsi"/>
          <w:sz w:val="20"/>
          <w:lang w:val="en-GB"/>
        </w:rPr>
        <w:t>.</w:t>
      </w:r>
    </w:p>
    <w:p w14:paraId="23E67D8B" w14:textId="2CF9CADB" w:rsidR="0090231C" w:rsidRPr="00A76040" w:rsidRDefault="0002001C" w:rsidP="0002001C">
      <w:pPr>
        <w:pStyle w:val="Heading2"/>
      </w:pPr>
      <w:bookmarkStart w:id="36" w:name="_Toc50730099"/>
      <w:r w:rsidRPr="00B557D9">
        <w:rPr>
          <w:rFonts w:asciiTheme="minorHAnsi" w:eastAsiaTheme="minorHAnsi" w:hAnsiTheme="minorHAnsi" w:cstheme="minorBidi"/>
          <w:szCs w:val="21"/>
          <w:lang w:val="en-US" w:eastAsia="en-US"/>
        </w:rPr>
        <w:t>C</w:t>
      </w:r>
      <w:bookmarkEnd w:id="36"/>
      <w:r w:rsidR="00A432C1">
        <w:rPr>
          <w:rFonts w:asciiTheme="minorHAnsi" w:eastAsiaTheme="minorHAnsi" w:hAnsiTheme="minorHAnsi" w:cstheme="minorBidi"/>
          <w:szCs w:val="21"/>
          <w:lang w:val="en-US" w:eastAsia="en-US"/>
        </w:rPr>
        <w:t>onditions for admission to trading</w:t>
      </w:r>
      <w:r w:rsidR="00922DE9" w:rsidRPr="00A76040">
        <w:t xml:space="preserve"> </w:t>
      </w:r>
    </w:p>
    <w:p w14:paraId="5C6B0C8B" w14:textId="75B6C677" w:rsidR="0090231C" w:rsidRPr="000D5B8C" w:rsidRDefault="0002001C" w:rsidP="0002001C">
      <w:pPr>
        <w:pStyle w:val="Heading3"/>
        <w:rPr>
          <w:sz w:val="20"/>
          <w:szCs w:val="20"/>
        </w:rPr>
      </w:pPr>
      <w:bookmarkStart w:id="37" w:name="_Toc314474086"/>
      <w:bookmarkStart w:id="38" w:name="_Toc314484300"/>
      <w:bookmarkStart w:id="39" w:name="_Toc314484375"/>
      <w:bookmarkStart w:id="40" w:name="_Toc314484557"/>
      <w:bookmarkStart w:id="41" w:name="_Toc314484758"/>
      <w:bookmarkStart w:id="42" w:name="_Toc314484890"/>
      <w:bookmarkStart w:id="43" w:name="_Toc314484987"/>
      <w:bookmarkStart w:id="44" w:name="_Toc314485139"/>
      <w:bookmarkStart w:id="45" w:name="_Toc314485384"/>
      <w:bookmarkStart w:id="46" w:name="_Toc314485450"/>
      <w:bookmarkStart w:id="47" w:name="_Toc314485545"/>
      <w:bookmarkStart w:id="48" w:name="_Toc314485606"/>
      <w:bookmarkStart w:id="49" w:name="_Toc314485996"/>
      <w:bookmarkStart w:id="50" w:name="_Toc314486056"/>
      <w:bookmarkStart w:id="51" w:name="_Toc31448612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D5B8C">
        <w:rPr>
          <w:sz w:val="20"/>
          <w:szCs w:val="20"/>
        </w:rPr>
        <w:t>Commercial criteria</w:t>
      </w:r>
    </w:p>
    <w:p w14:paraId="11CD228A" w14:textId="77777777" w:rsidR="0090231C" w:rsidRPr="000D5B8C" w:rsidRDefault="00922DE9" w:rsidP="006636AB">
      <w:pPr>
        <w:pStyle w:val="Heading4"/>
        <w:rPr>
          <w:b w:val="0"/>
        </w:rPr>
      </w:pPr>
      <w:r w:rsidRPr="000D5B8C">
        <w:rPr>
          <w:b w:val="0"/>
        </w:rPr>
        <w:t>Liquidity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706E66" w14:paraId="6CE89AC3" w14:textId="77777777" w:rsidTr="001549E1">
        <w:tc>
          <w:tcPr>
            <w:tcW w:w="9212" w:type="dxa"/>
            <w:shd w:val="clear" w:color="auto" w:fill="F3F3F3"/>
          </w:tcPr>
          <w:p w14:paraId="3C7BC23C" w14:textId="0A0D20C3" w:rsidR="0002001C" w:rsidRPr="00961FED" w:rsidRDefault="0002001C" w:rsidP="00594539">
            <w:pPr>
              <w:spacing w:after="120"/>
              <w:rPr>
                <w:b/>
                <w:sz w:val="18"/>
                <w:szCs w:val="20"/>
                <w:lang w:val="en-GB"/>
              </w:rPr>
            </w:pPr>
            <w:r w:rsidRPr="00961FED">
              <w:rPr>
                <w:b/>
                <w:sz w:val="18"/>
                <w:szCs w:val="20"/>
                <w:lang w:val="en-GB"/>
              </w:rPr>
              <w:t xml:space="preserve">RULE BOOK PART II SECTION </w:t>
            </w:r>
            <w:r w:rsidR="009919C0" w:rsidRPr="00961FED">
              <w:rPr>
                <w:b/>
                <w:sz w:val="18"/>
                <w:szCs w:val="20"/>
                <w:lang w:val="en-GB"/>
              </w:rPr>
              <w:t>2</w:t>
            </w:r>
            <w:r w:rsidRPr="00961FED">
              <w:rPr>
                <w:b/>
                <w:sz w:val="18"/>
                <w:szCs w:val="20"/>
                <w:lang w:val="en-GB"/>
              </w:rPr>
              <w:t>.</w:t>
            </w:r>
            <w:r w:rsidR="009919C0" w:rsidRPr="00961FED">
              <w:rPr>
                <w:b/>
                <w:sz w:val="18"/>
                <w:szCs w:val="20"/>
                <w:lang w:val="en-GB"/>
              </w:rPr>
              <w:t>1</w:t>
            </w:r>
            <w:r w:rsidRPr="00961FED">
              <w:rPr>
                <w:b/>
                <w:sz w:val="18"/>
                <w:szCs w:val="20"/>
                <w:lang w:val="en-GB"/>
              </w:rPr>
              <w:t>.3.1</w:t>
            </w:r>
          </w:p>
          <w:p w14:paraId="73E11881" w14:textId="0D656E2F" w:rsidR="00AD113C" w:rsidRDefault="00594539" w:rsidP="00C8240D">
            <w:pPr>
              <w:pStyle w:val="ListParagraph"/>
              <w:numPr>
                <w:ilvl w:val="0"/>
                <w:numId w:val="27"/>
              </w:numPr>
              <w:spacing w:after="120" w:line="240" w:lineRule="auto"/>
              <w:rPr>
                <w:sz w:val="18"/>
                <w:szCs w:val="20"/>
                <w:lang w:val="en-GB"/>
              </w:rPr>
            </w:pPr>
            <w:r>
              <w:rPr>
                <w:sz w:val="18"/>
                <w:szCs w:val="20"/>
                <w:lang w:val="en-GB"/>
              </w:rPr>
              <w:t xml:space="preserve">The Issuer </w:t>
            </w:r>
            <w:r w:rsidRPr="00594539">
              <w:rPr>
                <w:sz w:val="18"/>
                <w:szCs w:val="20"/>
                <w:lang w:val="en-GB"/>
              </w:rPr>
              <w:t>must provide a statement confirming that it will have sufficient liquidity to continue its business activities in accordance with its planned scale of operation for at least 12 months from the planned date of admission to trading.</w:t>
            </w:r>
          </w:p>
          <w:p w14:paraId="1A092BF8" w14:textId="00974EEB" w:rsidR="000B1061" w:rsidRPr="00594539" w:rsidRDefault="00594539" w:rsidP="00C8240D">
            <w:pPr>
              <w:pStyle w:val="ListParagraph"/>
              <w:numPr>
                <w:ilvl w:val="0"/>
                <w:numId w:val="27"/>
              </w:numPr>
              <w:spacing w:after="120" w:line="240" w:lineRule="auto"/>
              <w:rPr>
                <w:sz w:val="18"/>
                <w:szCs w:val="20"/>
                <w:lang w:val="en-GB"/>
              </w:rPr>
            </w:pPr>
            <w:r>
              <w:rPr>
                <w:sz w:val="18"/>
                <w:szCs w:val="20"/>
                <w:lang w:val="en-GB"/>
              </w:rPr>
              <w:t xml:space="preserve">If </w:t>
            </w:r>
            <w:r w:rsidRPr="00594539">
              <w:rPr>
                <w:sz w:val="18"/>
                <w:szCs w:val="20"/>
                <w:lang w:val="en-GB"/>
              </w:rPr>
              <w:t xml:space="preserve">the Issuer is unable to demonstrate that it has sufficient liquidity to operate for 12 months, it must provide additional information as part of its liquidity statement in the </w:t>
            </w:r>
            <w:r w:rsidRPr="007559F3">
              <w:rPr>
                <w:sz w:val="18"/>
                <w:szCs w:val="20"/>
                <w:lang w:val="en-GB"/>
              </w:rPr>
              <w:t>Application Form and the Presentation Document</w:t>
            </w:r>
            <w:r w:rsidRPr="00594539">
              <w:rPr>
                <w:sz w:val="18"/>
                <w:szCs w:val="20"/>
                <w:lang w:val="en-GB"/>
              </w:rPr>
              <w:t xml:space="preserve"> in accordance with a separate Notice referred to in section </w:t>
            </w:r>
            <w:r w:rsidR="009919C0">
              <w:rPr>
                <w:sz w:val="18"/>
                <w:szCs w:val="20"/>
                <w:lang w:val="en-GB"/>
              </w:rPr>
              <w:t>2</w:t>
            </w:r>
            <w:r w:rsidRPr="00594539">
              <w:rPr>
                <w:sz w:val="18"/>
                <w:szCs w:val="20"/>
                <w:lang w:val="en-GB"/>
              </w:rPr>
              <w:t>.</w:t>
            </w:r>
            <w:r w:rsidR="009919C0">
              <w:rPr>
                <w:sz w:val="18"/>
                <w:szCs w:val="20"/>
                <w:lang w:val="en-GB"/>
              </w:rPr>
              <w:t>2</w:t>
            </w:r>
            <w:r w:rsidRPr="00594539">
              <w:rPr>
                <w:sz w:val="18"/>
                <w:szCs w:val="20"/>
                <w:lang w:val="en-GB"/>
              </w:rPr>
              <w:t>.</w:t>
            </w:r>
          </w:p>
        </w:tc>
      </w:tr>
    </w:tbl>
    <w:p w14:paraId="32862A98" w14:textId="77777777" w:rsidR="001C4D7D" w:rsidRPr="00A8106A" w:rsidRDefault="001C4D7D" w:rsidP="007E312C">
      <w:pPr>
        <w:jc w:val="both"/>
        <w:rPr>
          <w:lang w:val="en-US"/>
        </w:rPr>
      </w:pPr>
    </w:p>
    <w:p w14:paraId="43BF6A29" w14:textId="1F6D5356" w:rsidR="004B4C42" w:rsidRPr="00A8106A" w:rsidRDefault="004B4C42" w:rsidP="00E76051">
      <w:pPr>
        <w:pStyle w:val="test"/>
        <w:numPr>
          <w:ilvl w:val="0"/>
          <w:numId w:val="6"/>
        </w:numPr>
        <w:spacing w:after="0" w:line="240" w:lineRule="auto"/>
        <w:jc w:val="both"/>
        <w:rPr>
          <w:rFonts w:asciiTheme="minorHAnsi" w:hAnsiTheme="minorHAnsi" w:cstheme="minorHAnsi"/>
          <w:sz w:val="20"/>
          <w:lang w:val="en-GB"/>
        </w:rPr>
      </w:pPr>
      <w:r w:rsidRPr="00A8106A">
        <w:rPr>
          <w:rFonts w:asciiTheme="minorHAnsi" w:hAnsiTheme="minorHAnsi" w:cstheme="minorHAnsi"/>
          <w:sz w:val="20"/>
          <w:lang w:val="en-GB"/>
        </w:rPr>
        <w:t>Please provide a statement confirming that the Issuer has sufficient liquidity to continue its business activities in accordance with its planned scale of operation for at least 12 months from the planned date of admission to trading</w:t>
      </w:r>
      <w:r w:rsidRPr="00A8106A">
        <w:rPr>
          <w:rFonts w:asciiTheme="minorHAnsi" w:hAnsiTheme="minorHAnsi" w:cstheme="minorHAnsi"/>
          <w:i/>
          <w:sz w:val="20"/>
          <w:lang w:val="en-GB"/>
        </w:rPr>
        <w:t xml:space="preserve">. </w:t>
      </w:r>
      <w:r w:rsidRPr="00A8106A">
        <w:rPr>
          <w:rFonts w:asciiTheme="minorHAnsi" w:hAnsiTheme="minorHAnsi" w:cstheme="minorHAnsi"/>
          <w:sz w:val="20"/>
          <w:lang w:val="en-GB"/>
        </w:rPr>
        <w:t xml:space="preserve">If the Issuer does not have sufficient liquidity for the coming 12-month period, additional information must be provided, cf. </w:t>
      </w:r>
      <w:r w:rsidRPr="00961FED">
        <w:rPr>
          <w:rFonts w:asciiTheme="minorHAnsi" w:hAnsiTheme="minorHAnsi" w:cstheme="minorHAnsi"/>
          <w:sz w:val="20"/>
          <w:lang w:val="en-GB"/>
        </w:rPr>
        <w:t xml:space="preserve">Notice </w:t>
      </w:r>
      <w:r w:rsidR="009919C0" w:rsidRPr="00961FED">
        <w:rPr>
          <w:rFonts w:asciiTheme="minorHAnsi" w:hAnsiTheme="minorHAnsi" w:cstheme="minorHAnsi"/>
          <w:sz w:val="20"/>
          <w:lang w:val="en-GB"/>
        </w:rPr>
        <w:t>2</w:t>
      </w:r>
      <w:r w:rsidRPr="00961FED">
        <w:rPr>
          <w:rFonts w:asciiTheme="minorHAnsi" w:hAnsiTheme="minorHAnsi" w:cstheme="minorHAnsi"/>
          <w:sz w:val="20"/>
          <w:lang w:val="en-GB"/>
        </w:rPr>
        <w:t>.</w:t>
      </w:r>
      <w:r w:rsidR="009919C0" w:rsidRPr="00961FED">
        <w:rPr>
          <w:rFonts w:asciiTheme="minorHAnsi" w:hAnsiTheme="minorHAnsi" w:cstheme="minorHAnsi"/>
          <w:sz w:val="20"/>
          <w:lang w:val="en-GB"/>
        </w:rPr>
        <w:t>2</w:t>
      </w:r>
      <w:r w:rsidRPr="00961FED">
        <w:rPr>
          <w:rFonts w:asciiTheme="minorHAnsi" w:hAnsiTheme="minorHAnsi" w:cstheme="minorHAnsi"/>
          <w:sz w:val="20"/>
          <w:lang w:val="en-GB"/>
        </w:rPr>
        <w:t xml:space="preserve"> section 2 (2) item 6.</w:t>
      </w:r>
    </w:p>
    <w:p w14:paraId="21587785" w14:textId="77777777" w:rsidR="004B4C42" w:rsidRPr="00A8106A" w:rsidRDefault="004B4C42" w:rsidP="00E76051">
      <w:pPr>
        <w:pStyle w:val="test"/>
        <w:spacing w:after="0" w:line="240" w:lineRule="auto"/>
        <w:jc w:val="both"/>
        <w:rPr>
          <w:rFonts w:asciiTheme="minorHAnsi" w:hAnsiTheme="minorHAnsi" w:cstheme="minorHAnsi"/>
          <w:sz w:val="20"/>
          <w:lang w:val="en-US"/>
        </w:rPr>
      </w:pPr>
    </w:p>
    <w:p w14:paraId="1B41BB69" w14:textId="7C25F37E" w:rsidR="004B4C42" w:rsidRPr="00961FED" w:rsidRDefault="004B4C42" w:rsidP="00E76051">
      <w:pPr>
        <w:pStyle w:val="ListParagraph"/>
        <w:numPr>
          <w:ilvl w:val="0"/>
          <w:numId w:val="7"/>
        </w:numPr>
        <w:spacing w:after="120" w:line="240" w:lineRule="auto"/>
        <w:jc w:val="both"/>
        <w:rPr>
          <w:rFonts w:cs="Verdana"/>
          <w:sz w:val="20"/>
          <w:szCs w:val="20"/>
          <w:lang w:val="en-GB"/>
        </w:rPr>
      </w:pPr>
      <w:r w:rsidRPr="00A8106A">
        <w:rPr>
          <w:rFonts w:cs="Verdana"/>
          <w:sz w:val="20"/>
          <w:szCs w:val="20"/>
          <w:lang w:val="en-GB"/>
        </w:rPr>
        <w:t xml:space="preserve">Please describe the </w:t>
      </w:r>
      <w:r w:rsidR="00890D50" w:rsidRPr="00890D50">
        <w:rPr>
          <w:rFonts w:cs="Verdana"/>
          <w:sz w:val="20"/>
          <w:szCs w:val="20"/>
          <w:lang w:val="en-GB"/>
        </w:rPr>
        <w:t xml:space="preserve">Issuer’s financial situation, including any terms, conditions and covenants </w:t>
      </w:r>
      <w:r w:rsidR="00890D50">
        <w:rPr>
          <w:rFonts w:cs="Verdana"/>
          <w:sz w:val="20"/>
          <w:szCs w:val="20"/>
          <w:lang w:val="en-GB"/>
        </w:rPr>
        <w:t xml:space="preserve">related </w:t>
      </w:r>
      <w:r w:rsidRPr="00A8106A">
        <w:rPr>
          <w:rFonts w:cs="Verdana"/>
          <w:sz w:val="20"/>
          <w:szCs w:val="20"/>
          <w:lang w:val="en-GB"/>
        </w:rPr>
        <w:t xml:space="preserve">to the </w:t>
      </w:r>
      <w:r w:rsidRPr="00961FED">
        <w:rPr>
          <w:rFonts w:cs="Verdana"/>
          <w:sz w:val="20"/>
          <w:szCs w:val="20"/>
          <w:lang w:val="en-GB"/>
        </w:rPr>
        <w:t>Issuer’s borrowings which may represent a material restriction on its freedom of action, or that may represent an obstacle to the free transfer of the Issuer’s Shares</w:t>
      </w:r>
      <w:r w:rsidR="00890D50" w:rsidRPr="00961FED">
        <w:rPr>
          <w:rFonts w:cs="Verdana"/>
          <w:sz w:val="20"/>
          <w:szCs w:val="20"/>
          <w:lang w:val="en-GB"/>
        </w:rPr>
        <w:t xml:space="preserve"> (cf. Notice </w:t>
      </w:r>
      <w:r w:rsidR="009919C0" w:rsidRPr="00961FED">
        <w:rPr>
          <w:rFonts w:cs="Verdana"/>
          <w:sz w:val="20"/>
          <w:szCs w:val="20"/>
          <w:lang w:val="en-GB"/>
        </w:rPr>
        <w:t>2</w:t>
      </w:r>
      <w:r w:rsidR="00890D50" w:rsidRPr="00961FED">
        <w:rPr>
          <w:rFonts w:cs="Verdana"/>
          <w:sz w:val="20"/>
          <w:szCs w:val="20"/>
          <w:lang w:val="en-GB"/>
        </w:rPr>
        <w:t>.</w:t>
      </w:r>
      <w:r w:rsidR="009919C0" w:rsidRPr="00961FED">
        <w:rPr>
          <w:rFonts w:cs="Verdana"/>
          <w:sz w:val="20"/>
          <w:szCs w:val="20"/>
          <w:lang w:val="en-GB"/>
        </w:rPr>
        <w:t>2</w:t>
      </w:r>
      <w:r w:rsidR="00890D50" w:rsidRPr="00961FED">
        <w:rPr>
          <w:rFonts w:cs="Verdana"/>
          <w:sz w:val="20"/>
          <w:szCs w:val="20"/>
          <w:lang w:val="en-GB"/>
        </w:rPr>
        <w:t xml:space="preserve"> section 2 (2) item 3)</w:t>
      </w:r>
      <w:r w:rsidRPr="00961FED">
        <w:rPr>
          <w:rFonts w:cs="Verdana"/>
          <w:sz w:val="20"/>
          <w:szCs w:val="20"/>
          <w:lang w:val="en-GB"/>
        </w:rPr>
        <w:t xml:space="preserve">. </w:t>
      </w:r>
    </w:p>
    <w:p w14:paraId="259623AB" w14:textId="6F17CDA0" w:rsidR="0090231C" w:rsidRPr="000D5B8C" w:rsidRDefault="0002001C" w:rsidP="006636AB">
      <w:pPr>
        <w:pStyle w:val="Heading4"/>
        <w:rPr>
          <w:b w:val="0"/>
        </w:rPr>
      </w:pPr>
      <w:r w:rsidRPr="000D5B8C">
        <w:rPr>
          <w:b w:val="0"/>
        </w:rPr>
        <w:t>Financial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706E66" w14:paraId="6660AABA" w14:textId="77777777" w:rsidTr="001549E1">
        <w:tc>
          <w:tcPr>
            <w:tcW w:w="9212" w:type="dxa"/>
            <w:shd w:val="clear" w:color="auto" w:fill="F3F3F3"/>
          </w:tcPr>
          <w:p w14:paraId="50214531" w14:textId="4C40FA8F" w:rsidR="0053504A" w:rsidRPr="00961FED" w:rsidRDefault="0053504A" w:rsidP="006B2D01">
            <w:pPr>
              <w:spacing w:after="120"/>
              <w:rPr>
                <w:b/>
                <w:sz w:val="18"/>
                <w:szCs w:val="20"/>
                <w:lang w:val="en-GB"/>
              </w:rPr>
            </w:pPr>
            <w:r w:rsidRPr="00961FED">
              <w:rPr>
                <w:b/>
                <w:sz w:val="18"/>
                <w:szCs w:val="20"/>
                <w:lang w:val="en-GB"/>
              </w:rPr>
              <w:t xml:space="preserve">RULE BOOK PART I </w:t>
            </w:r>
            <w:r w:rsidR="00945D33" w:rsidRPr="00961FED">
              <w:rPr>
                <w:b/>
                <w:sz w:val="18"/>
                <w:szCs w:val="20"/>
                <w:lang w:val="en-GB"/>
              </w:rPr>
              <w:t xml:space="preserve">RULE </w:t>
            </w:r>
            <w:r w:rsidR="00A87E0D" w:rsidRPr="00961FED">
              <w:rPr>
                <w:b/>
                <w:sz w:val="18"/>
                <w:szCs w:val="20"/>
                <w:lang w:val="en-GB"/>
              </w:rPr>
              <w:t>3.2.3</w:t>
            </w:r>
          </w:p>
          <w:p w14:paraId="2FE505E2" w14:textId="1653C9AE" w:rsidR="00A87E0D" w:rsidRPr="00A87E0D" w:rsidRDefault="00A87E0D" w:rsidP="006B2D01">
            <w:pPr>
              <w:spacing w:after="120"/>
              <w:rPr>
                <w:sz w:val="18"/>
                <w:szCs w:val="20"/>
                <w:lang w:val="en-GB"/>
              </w:rPr>
            </w:pPr>
            <w:r>
              <w:rPr>
                <w:sz w:val="18"/>
                <w:szCs w:val="20"/>
                <w:lang w:val="en-GB"/>
              </w:rPr>
              <w:lastRenderedPageBreak/>
              <w:t xml:space="preserve">Without prejudice to the </w:t>
            </w:r>
            <w:r w:rsidRPr="00A87E0D">
              <w:rPr>
                <w:sz w:val="18"/>
                <w:szCs w:val="20"/>
                <w:lang w:val="en-GB"/>
              </w:rPr>
              <w:t>national regulations applicable to the Issuer regarding accounting standards and the standards of presentation required for the approval of a prospectus (or a similar document as required by National Regulation) by any competent authority, the financial statements published by the Issuer must be established in accordance with the following accounting standards:</w:t>
            </w:r>
          </w:p>
          <w:p w14:paraId="001F6906" w14:textId="77777777" w:rsidR="00A87E0D" w:rsidRPr="00A87E0D" w:rsidRDefault="00A87E0D" w:rsidP="006B2D01">
            <w:pPr>
              <w:spacing w:after="120"/>
              <w:rPr>
                <w:sz w:val="18"/>
                <w:szCs w:val="20"/>
                <w:lang w:val="en-GB"/>
              </w:rPr>
            </w:pPr>
            <w:r w:rsidRPr="00A87E0D">
              <w:rPr>
                <w:sz w:val="18"/>
                <w:szCs w:val="20"/>
                <w:lang w:val="en-GB"/>
              </w:rPr>
              <w:t>Each Issuer having its registered office in a Member State shall prepare its financial statements, consolidated where applicable, in accordance with International Financial Reporting Standards (IFRS) (if allowed by its national regulations) or the accounting standards applicable in the country of its registered office.</w:t>
            </w:r>
          </w:p>
          <w:p w14:paraId="73D91E0E" w14:textId="276CC851" w:rsidR="00A87E0D" w:rsidRDefault="00A87E0D" w:rsidP="006B2D01">
            <w:pPr>
              <w:spacing w:after="120"/>
              <w:rPr>
                <w:sz w:val="18"/>
                <w:szCs w:val="20"/>
                <w:lang w:val="en-GB"/>
              </w:rPr>
            </w:pPr>
            <w:r w:rsidRPr="00A87E0D">
              <w:rPr>
                <w:sz w:val="18"/>
                <w:szCs w:val="20"/>
                <w:lang w:val="en-GB"/>
              </w:rPr>
              <w:t>Each Issuer having its registered office in a state which is not a Member State shall prepare its financial statements, consolidated where applicable, in accordance with the following accounting standards:</w:t>
            </w:r>
          </w:p>
          <w:p w14:paraId="378CDD75" w14:textId="77777777" w:rsidR="00A87E0D" w:rsidRPr="00A87E0D" w:rsidRDefault="00A87E0D" w:rsidP="00C8240D">
            <w:pPr>
              <w:pStyle w:val="ListParagraph"/>
              <w:numPr>
                <w:ilvl w:val="0"/>
                <w:numId w:val="29"/>
              </w:numPr>
              <w:spacing w:after="120" w:line="240" w:lineRule="auto"/>
              <w:rPr>
                <w:sz w:val="18"/>
                <w:szCs w:val="20"/>
                <w:lang w:val="en-US"/>
              </w:rPr>
            </w:pPr>
            <w:r w:rsidRPr="00A87E0D">
              <w:rPr>
                <w:sz w:val="18"/>
                <w:szCs w:val="20"/>
                <w:lang w:val="en-US"/>
              </w:rPr>
              <w:t>the International Financial Reporting Standards (IFRS) (if allowed by applicable laws and regulations);</w:t>
            </w:r>
          </w:p>
          <w:p w14:paraId="134D966F" w14:textId="140194E4" w:rsidR="00A87E0D" w:rsidRDefault="00A87E0D" w:rsidP="00C8240D">
            <w:pPr>
              <w:pStyle w:val="ListParagraph"/>
              <w:numPr>
                <w:ilvl w:val="0"/>
                <w:numId w:val="29"/>
              </w:numPr>
              <w:spacing w:after="120" w:line="240" w:lineRule="auto"/>
              <w:rPr>
                <w:sz w:val="18"/>
                <w:szCs w:val="20"/>
                <w:lang w:val="en-US"/>
              </w:rPr>
            </w:pPr>
            <w:r>
              <w:rPr>
                <w:sz w:val="18"/>
                <w:szCs w:val="20"/>
                <w:lang w:val="en-US"/>
              </w:rPr>
              <w:t xml:space="preserve">the accounting </w:t>
            </w:r>
            <w:r w:rsidRPr="00A87E0D">
              <w:rPr>
                <w:sz w:val="18"/>
                <w:szCs w:val="20"/>
                <w:lang w:val="en-US"/>
              </w:rPr>
              <w:t>standards considered equivalent to IFRS in accordance with article 3 of Commission Regulation (EC) 1569/2007 and EU Commission Decision of 12 December 2008 (US GAAP, Canadian standards, Japanese standards, Chinese standards, South-Korean standards and Indian standards) (if allowed by applicable laws and regulations); or</w:t>
            </w:r>
          </w:p>
          <w:p w14:paraId="1BB9B111" w14:textId="30D64048" w:rsidR="00A87E0D" w:rsidRPr="00A87E0D" w:rsidRDefault="00A87E0D" w:rsidP="00C8240D">
            <w:pPr>
              <w:pStyle w:val="ListParagraph"/>
              <w:numPr>
                <w:ilvl w:val="0"/>
                <w:numId w:val="29"/>
              </w:numPr>
              <w:spacing w:after="120" w:line="240" w:lineRule="auto"/>
              <w:rPr>
                <w:sz w:val="18"/>
                <w:szCs w:val="20"/>
                <w:lang w:val="en-US"/>
              </w:rPr>
            </w:pPr>
            <w:r>
              <w:rPr>
                <w:sz w:val="18"/>
                <w:szCs w:val="20"/>
                <w:lang w:val="en-US"/>
              </w:rPr>
              <w:t xml:space="preserve">the </w:t>
            </w:r>
            <w:r w:rsidRPr="00A87E0D">
              <w:rPr>
                <w:sz w:val="18"/>
                <w:szCs w:val="20"/>
                <w:lang w:val="en-US"/>
              </w:rPr>
              <w:t>applicable accounting standards in the country of its registered office together with an IFRS reconciliation table (or, subject to the approval of the Relevant Euronext Market Undertaking, acting in its sole discretion, if the relevant Issuer has material operations in the jurisdiction of the Relevant Euronext Market Undertaking where it is seeking a first admission to trading or has been admitted to trading, a reconciliation table in the accounting standards of the jurisdiction of such Relevant Euronext Market Undertaking.</w:t>
            </w:r>
          </w:p>
          <w:p w14:paraId="50B78251" w14:textId="1F2E6109" w:rsidR="00A87E0D" w:rsidRPr="00961FED" w:rsidRDefault="00A87E0D" w:rsidP="006B2D01">
            <w:pPr>
              <w:spacing w:after="120"/>
              <w:rPr>
                <w:b/>
                <w:sz w:val="18"/>
                <w:szCs w:val="20"/>
                <w:lang w:val="en-GB"/>
              </w:rPr>
            </w:pPr>
            <w:r w:rsidRPr="00961FED">
              <w:rPr>
                <w:b/>
                <w:sz w:val="18"/>
                <w:szCs w:val="20"/>
                <w:lang w:val="en-GB"/>
              </w:rPr>
              <w:t>RULE BOOK PART I RULE 3.2.4</w:t>
            </w:r>
          </w:p>
          <w:p w14:paraId="18733BC4" w14:textId="77777777" w:rsidR="00A87E0D" w:rsidRPr="00A87E0D" w:rsidRDefault="00A87E0D" w:rsidP="006B2D01">
            <w:pPr>
              <w:spacing w:after="120"/>
              <w:rPr>
                <w:sz w:val="18"/>
                <w:szCs w:val="20"/>
                <w:lang w:val="en-US"/>
              </w:rPr>
            </w:pPr>
            <w:r w:rsidRPr="00A87E0D">
              <w:rPr>
                <w:sz w:val="18"/>
                <w:szCs w:val="20"/>
                <w:lang w:val="en-US"/>
              </w:rPr>
              <w:t xml:space="preserve">Unless an exemption is granted by the Relevant Euronext Market Undertaking, each Issuer must have published or filed audited annual financial statements or pro forma accounts, consolidated where applicable, for the two (2) financial years preceding the application to first admission to trading of Equity Securities. </w:t>
            </w:r>
          </w:p>
          <w:p w14:paraId="17C88C79" w14:textId="77777777" w:rsidR="00A87E0D" w:rsidRPr="00A87E0D" w:rsidRDefault="00A87E0D" w:rsidP="006B2D01">
            <w:pPr>
              <w:spacing w:after="120"/>
              <w:rPr>
                <w:sz w:val="18"/>
                <w:szCs w:val="20"/>
                <w:lang w:val="en-US"/>
              </w:rPr>
            </w:pPr>
            <w:r w:rsidRPr="00A87E0D">
              <w:rPr>
                <w:sz w:val="18"/>
                <w:szCs w:val="20"/>
                <w:lang w:val="en-US"/>
              </w:rPr>
              <w:t>If the most recent financial year ended more than nine (9) months prior to the first admission to trading, the Issuer must have published interim financial statements.</w:t>
            </w:r>
          </w:p>
          <w:p w14:paraId="64CEAAE3" w14:textId="03C1AF44" w:rsidR="0053504A" w:rsidRPr="00A87E0D" w:rsidRDefault="00A87E0D" w:rsidP="006B2D01">
            <w:pPr>
              <w:spacing w:after="120"/>
              <w:rPr>
                <w:sz w:val="18"/>
                <w:szCs w:val="20"/>
                <w:lang w:val="en-US"/>
              </w:rPr>
            </w:pPr>
            <w:r w:rsidRPr="00A87E0D">
              <w:rPr>
                <w:sz w:val="18"/>
                <w:szCs w:val="20"/>
                <w:lang w:val="en-US"/>
              </w:rPr>
              <w:t>The financial statements for the last two (2) years must be audited by the auditors (or Person considered equivalent to auditors) appointed by the relevant Issuer.</w:t>
            </w:r>
          </w:p>
          <w:p w14:paraId="64C6F229" w14:textId="250BA664" w:rsidR="0002001C" w:rsidRPr="00961FED" w:rsidRDefault="0002001C" w:rsidP="006B2D01">
            <w:pPr>
              <w:spacing w:after="120"/>
              <w:rPr>
                <w:b/>
                <w:sz w:val="18"/>
                <w:szCs w:val="20"/>
                <w:lang w:val="en-GB"/>
              </w:rPr>
            </w:pPr>
            <w:r w:rsidRPr="00961FED">
              <w:rPr>
                <w:b/>
                <w:sz w:val="18"/>
                <w:szCs w:val="20"/>
                <w:lang w:val="en-GB"/>
              </w:rPr>
              <w:t xml:space="preserve">RULE BOOK PART II SECTION </w:t>
            </w:r>
            <w:r w:rsidR="007651AB" w:rsidRPr="00961FED">
              <w:rPr>
                <w:b/>
                <w:sz w:val="18"/>
                <w:szCs w:val="20"/>
                <w:lang w:val="en-GB"/>
              </w:rPr>
              <w:t>2</w:t>
            </w:r>
            <w:r w:rsidRPr="00961FED">
              <w:rPr>
                <w:b/>
                <w:sz w:val="18"/>
                <w:szCs w:val="20"/>
                <w:lang w:val="en-GB"/>
              </w:rPr>
              <w:t>.</w:t>
            </w:r>
            <w:r w:rsidR="007651AB" w:rsidRPr="00961FED">
              <w:rPr>
                <w:b/>
                <w:sz w:val="18"/>
                <w:szCs w:val="20"/>
                <w:lang w:val="en-GB"/>
              </w:rPr>
              <w:t>1</w:t>
            </w:r>
            <w:r w:rsidRPr="00961FED">
              <w:rPr>
                <w:b/>
                <w:sz w:val="18"/>
                <w:szCs w:val="20"/>
                <w:lang w:val="en-GB"/>
              </w:rPr>
              <w:t>.3.2</w:t>
            </w:r>
          </w:p>
          <w:p w14:paraId="4BE4ED5A" w14:textId="70FCF472" w:rsidR="00D43D0B" w:rsidRDefault="00D43D0B" w:rsidP="00C8240D">
            <w:pPr>
              <w:pStyle w:val="ListParagraph"/>
              <w:numPr>
                <w:ilvl w:val="0"/>
                <w:numId w:val="28"/>
              </w:numPr>
              <w:spacing w:after="120" w:line="240" w:lineRule="auto"/>
              <w:rPr>
                <w:sz w:val="18"/>
                <w:szCs w:val="20"/>
                <w:lang w:val="en-GB"/>
              </w:rPr>
            </w:pPr>
            <w:r>
              <w:rPr>
                <w:sz w:val="18"/>
                <w:szCs w:val="20"/>
                <w:lang w:val="en-GB"/>
              </w:rPr>
              <w:t xml:space="preserve">In addition to </w:t>
            </w:r>
            <w:proofErr w:type="spellStart"/>
            <w:r w:rsidRPr="00D43D0B">
              <w:rPr>
                <w:sz w:val="18"/>
                <w:szCs w:val="20"/>
                <w:lang w:val="en-GB"/>
              </w:rPr>
              <w:t>fulfill</w:t>
            </w:r>
            <w:proofErr w:type="spellEnd"/>
            <w:r w:rsidRPr="00D43D0B">
              <w:rPr>
                <w:sz w:val="18"/>
                <w:szCs w:val="20"/>
                <w:lang w:val="en-GB"/>
              </w:rPr>
              <w:t xml:space="preserve"> the requirements in Rule 3.2.3 and Rule 3.2.4 of Rule Book Part I the Issuer must </w:t>
            </w:r>
            <w:proofErr w:type="spellStart"/>
            <w:r w:rsidRPr="00D43D0B">
              <w:rPr>
                <w:sz w:val="18"/>
                <w:szCs w:val="20"/>
                <w:lang w:val="en-GB"/>
              </w:rPr>
              <w:t>fulfill</w:t>
            </w:r>
            <w:proofErr w:type="spellEnd"/>
            <w:r w:rsidRPr="00D43D0B">
              <w:rPr>
                <w:sz w:val="18"/>
                <w:szCs w:val="20"/>
                <w:lang w:val="en-GB"/>
              </w:rPr>
              <w:t xml:space="preserve"> the following requirements:</w:t>
            </w:r>
          </w:p>
          <w:p w14:paraId="333AA53D" w14:textId="5A1E698A" w:rsidR="00D43D0B" w:rsidRDefault="00D43D0B" w:rsidP="00C8240D">
            <w:pPr>
              <w:pStyle w:val="ListParagraph"/>
              <w:numPr>
                <w:ilvl w:val="1"/>
                <w:numId w:val="28"/>
              </w:numPr>
              <w:spacing w:after="120" w:line="240" w:lineRule="auto"/>
              <w:rPr>
                <w:sz w:val="18"/>
                <w:szCs w:val="20"/>
                <w:lang w:val="en-GB"/>
              </w:rPr>
            </w:pPr>
            <w:r>
              <w:rPr>
                <w:sz w:val="18"/>
                <w:szCs w:val="20"/>
                <w:lang w:val="en-GB"/>
              </w:rPr>
              <w:t xml:space="preserve">Where </w:t>
            </w:r>
            <w:r w:rsidRPr="00D43D0B">
              <w:rPr>
                <w:sz w:val="18"/>
                <w:szCs w:val="20"/>
                <w:lang w:val="en-GB"/>
              </w:rPr>
              <w:t>an Issuer is a parent company, the Issuer must have published or filed consolidated financial statements, unless an exemption is granted by Oslo Børs given that the subsidiaries both individually and collectively, are of immaterial importance.</w:t>
            </w:r>
          </w:p>
          <w:p w14:paraId="5BC3AAB9" w14:textId="5D689AA7" w:rsidR="00D43D0B" w:rsidRDefault="00D43D0B" w:rsidP="00C8240D">
            <w:pPr>
              <w:pStyle w:val="ListParagraph"/>
              <w:numPr>
                <w:ilvl w:val="1"/>
                <w:numId w:val="28"/>
              </w:numPr>
              <w:spacing w:after="120" w:line="240" w:lineRule="auto"/>
              <w:rPr>
                <w:sz w:val="18"/>
                <w:szCs w:val="20"/>
                <w:lang w:val="en-GB"/>
              </w:rPr>
            </w:pPr>
            <w:r>
              <w:rPr>
                <w:sz w:val="18"/>
                <w:szCs w:val="20"/>
                <w:lang w:val="en-GB"/>
              </w:rPr>
              <w:t>The balance sheet date of the last audited financial information may not be older than one of the following:</w:t>
            </w:r>
          </w:p>
          <w:p w14:paraId="1101D881" w14:textId="3B601FD9" w:rsidR="00D43D0B" w:rsidRDefault="00D43D0B" w:rsidP="00C8240D">
            <w:pPr>
              <w:pStyle w:val="ListParagraph"/>
              <w:numPr>
                <w:ilvl w:val="2"/>
                <w:numId w:val="28"/>
              </w:numPr>
              <w:spacing w:after="120" w:line="240" w:lineRule="auto"/>
              <w:rPr>
                <w:sz w:val="18"/>
                <w:szCs w:val="20"/>
                <w:lang w:val="en-GB"/>
              </w:rPr>
            </w:pPr>
            <w:r>
              <w:rPr>
                <w:sz w:val="18"/>
                <w:szCs w:val="20"/>
                <w:lang w:val="en-GB"/>
              </w:rPr>
              <w:t xml:space="preserve">18 months </w:t>
            </w:r>
            <w:r w:rsidRPr="00D43D0B">
              <w:rPr>
                <w:sz w:val="18"/>
                <w:szCs w:val="20"/>
                <w:lang w:val="en-GB"/>
              </w:rPr>
              <w:t>from the admission to trading date if the Issuer has published or filed audited interim financial statements.</w:t>
            </w:r>
          </w:p>
          <w:p w14:paraId="740B08E2" w14:textId="56519849" w:rsidR="0002001C" w:rsidRPr="00D43D0B" w:rsidRDefault="00D43D0B" w:rsidP="00C8240D">
            <w:pPr>
              <w:pStyle w:val="ListParagraph"/>
              <w:numPr>
                <w:ilvl w:val="2"/>
                <w:numId w:val="28"/>
              </w:numPr>
              <w:spacing w:after="120" w:line="240" w:lineRule="auto"/>
              <w:rPr>
                <w:sz w:val="18"/>
                <w:szCs w:val="20"/>
                <w:lang w:val="en-GB"/>
              </w:rPr>
            </w:pPr>
            <w:r>
              <w:rPr>
                <w:sz w:val="18"/>
                <w:szCs w:val="20"/>
                <w:lang w:val="en-GB"/>
              </w:rPr>
              <w:t xml:space="preserve">16 months </w:t>
            </w:r>
            <w:r w:rsidRPr="00D43D0B">
              <w:rPr>
                <w:sz w:val="18"/>
                <w:szCs w:val="20"/>
                <w:lang w:val="en-GB"/>
              </w:rPr>
              <w:t>from the admission to trading date if the Issuer has published or filed interim financial statements which is not audited.</w:t>
            </w:r>
          </w:p>
        </w:tc>
      </w:tr>
    </w:tbl>
    <w:p w14:paraId="25829FAD" w14:textId="77777777" w:rsidR="007E312C" w:rsidRDefault="007E312C" w:rsidP="007E312C">
      <w:pPr>
        <w:pStyle w:val="test"/>
        <w:spacing w:after="0"/>
        <w:rPr>
          <w:rFonts w:asciiTheme="minorHAnsi" w:hAnsiTheme="minorHAnsi"/>
          <w:sz w:val="20"/>
          <w:lang w:val="en-GB"/>
        </w:rPr>
      </w:pPr>
    </w:p>
    <w:p w14:paraId="768B4B6C" w14:textId="53B25149" w:rsidR="004B4C42" w:rsidRPr="00A8106A" w:rsidRDefault="004B4C42" w:rsidP="00E76051">
      <w:pPr>
        <w:pStyle w:val="ListParagraph"/>
        <w:numPr>
          <w:ilvl w:val="0"/>
          <w:numId w:val="8"/>
        </w:numPr>
        <w:spacing w:after="120" w:line="240" w:lineRule="auto"/>
        <w:ind w:left="714" w:hanging="357"/>
        <w:jc w:val="both"/>
        <w:rPr>
          <w:rFonts w:asciiTheme="minorHAnsi" w:hAnsiTheme="minorHAnsi" w:cstheme="minorHAnsi"/>
          <w:sz w:val="20"/>
          <w:szCs w:val="20"/>
          <w:lang w:val="en-GB"/>
        </w:rPr>
      </w:pPr>
      <w:r w:rsidRPr="00A8106A">
        <w:rPr>
          <w:rFonts w:asciiTheme="minorHAnsi" w:hAnsiTheme="minorHAnsi" w:cstheme="minorHAnsi"/>
          <w:sz w:val="20"/>
          <w:szCs w:val="20"/>
          <w:lang w:val="en-GB"/>
        </w:rPr>
        <w:t xml:space="preserve">Please state </w:t>
      </w:r>
      <w:r w:rsidRPr="00961FED">
        <w:rPr>
          <w:rFonts w:asciiTheme="minorHAnsi" w:hAnsiTheme="minorHAnsi" w:cstheme="minorHAnsi"/>
          <w:sz w:val="20"/>
          <w:szCs w:val="20"/>
          <w:lang w:val="en-GB"/>
        </w:rPr>
        <w:t>which financial reporting and accounting principles the Issuer applies, e.g. IFRS, NGAAP, etc.</w:t>
      </w:r>
      <w:r w:rsidR="002B7E41" w:rsidRPr="00961FED">
        <w:rPr>
          <w:rFonts w:asciiTheme="minorHAnsi" w:hAnsiTheme="minorHAnsi" w:cstheme="minorHAnsi"/>
          <w:sz w:val="20"/>
          <w:szCs w:val="20"/>
          <w:lang w:val="en-GB"/>
        </w:rPr>
        <w:t xml:space="preserve"> (cf. Notice </w:t>
      </w:r>
      <w:r w:rsidR="007651AB" w:rsidRPr="00961FED">
        <w:rPr>
          <w:rFonts w:asciiTheme="minorHAnsi" w:hAnsiTheme="minorHAnsi" w:cstheme="minorHAnsi"/>
          <w:sz w:val="20"/>
          <w:szCs w:val="20"/>
          <w:lang w:val="en-GB"/>
        </w:rPr>
        <w:t>2</w:t>
      </w:r>
      <w:r w:rsidR="002B7E41" w:rsidRPr="00961FED">
        <w:rPr>
          <w:rFonts w:asciiTheme="minorHAnsi" w:hAnsiTheme="minorHAnsi" w:cstheme="minorHAnsi"/>
          <w:sz w:val="20"/>
          <w:szCs w:val="20"/>
          <w:lang w:val="en-GB"/>
        </w:rPr>
        <w:t>.</w:t>
      </w:r>
      <w:r w:rsidR="007651AB" w:rsidRPr="00961FED">
        <w:rPr>
          <w:rFonts w:asciiTheme="minorHAnsi" w:hAnsiTheme="minorHAnsi" w:cstheme="minorHAnsi"/>
          <w:sz w:val="20"/>
          <w:szCs w:val="20"/>
          <w:lang w:val="en-GB"/>
        </w:rPr>
        <w:t>2</w:t>
      </w:r>
      <w:r w:rsidR="002B7E41" w:rsidRPr="00961FED">
        <w:rPr>
          <w:rFonts w:asciiTheme="minorHAnsi" w:hAnsiTheme="minorHAnsi" w:cstheme="minorHAnsi"/>
          <w:sz w:val="20"/>
          <w:szCs w:val="20"/>
          <w:lang w:val="en-GB"/>
        </w:rPr>
        <w:t xml:space="preserve"> section 2 (2) item 5).</w:t>
      </w:r>
      <w:r w:rsidRPr="00A8106A">
        <w:rPr>
          <w:rFonts w:asciiTheme="minorHAnsi" w:hAnsiTheme="minorHAnsi" w:cstheme="minorHAnsi"/>
          <w:sz w:val="20"/>
          <w:szCs w:val="20"/>
          <w:lang w:val="en-GB"/>
        </w:rPr>
        <w:t xml:space="preserve"> </w:t>
      </w:r>
    </w:p>
    <w:p w14:paraId="58D95C27" w14:textId="77777777" w:rsidR="004B4C42" w:rsidRPr="00A8106A" w:rsidRDefault="004B4C42" w:rsidP="00E76051">
      <w:pPr>
        <w:pStyle w:val="ListParagraph"/>
        <w:numPr>
          <w:ilvl w:val="0"/>
          <w:numId w:val="8"/>
        </w:numPr>
        <w:spacing w:after="120" w:line="240" w:lineRule="auto"/>
        <w:ind w:left="714" w:hanging="357"/>
        <w:jc w:val="both"/>
        <w:rPr>
          <w:rFonts w:asciiTheme="minorHAnsi" w:hAnsiTheme="minorHAnsi" w:cstheme="minorHAnsi"/>
          <w:sz w:val="20"/>
          <w:szCs w:val="20"/>
          <w:lang w:val="en-GB"/>
        </w:rPr>
      </w:pPr>
      <w:r w:rsidRPr="00A8106A">
        <w:rPr>
          <w:rFonts w:asciiTheme="minorHAnsi" w:hAnsiTheme="minorHAnsi" w:cstheme="minorHAnsi"/>
          <w:sz w:val="20"/>
          <w:szCs w:val="20"/>
          <w:lang w:val="en-GB"/>
        </w:rPr>
        <w:t>Please state which financial statements and interim reports that are appended to the application, as well as whether the financial statements and interim reports have been audited.</w:t>
      </w:r>
    </w:p>
    <w:p w14:paraId="25B12FFE" w14:textId="77777777" w:rsidR="004B4C42" w:rsidRPr="00A8106A" w:rsidRDefault="004B4C42" w:rsidP="00E76051">
      <w:pPr>
        <w:pStyle w:val="test"/>
        <w:numPr>
          <w:ilvl w:val="0"/>
          <w:numId w:val="9"/>
        </w:numPr>
        <w:spacing w:after="120" w:line="240" w:lineRule="auto"/>
        <w:ind w:left="714" w:hanging="357"/>
        <w:jc w:val="both"/>
        <w:rPr>
          <w:rFonts w:asciiTheme="minorHAnsi" w:hAnsiTheme="minorHAnsi" w:cstheme="minorHAnsi"/>
          <w:sz w:val="20"/>
          <w:lang w:val="en-US"/>
        </w:rPr>
      </w:pPr>
      <w:r w:rsidRPr="00A8106A">
        <w:rPr>
          <w:rFonts w:asciiTheme="minorHAnsi" w:hAnsiTheme="minorHAnsi" w:cstheme="minorHAnsi"/>
          <w:sz w:val="20"/>
          <w:lang w:val="en-GB"/>
        </w:rPr>
        <w:t>Please fill in the table below with key figures from the Issuer’s income statement and balance sheet for the last two financial years if such accounts have been produced, as well as for the last interim reporting period where relevant</w:t>
      </w:r>
      <w:r w:rsidRPr="00A8106A">
        <w:rPr>
          <w:rFonts w:asciiTheme="minorHAnsi" w:hAnsiTheme="minorHAnsi" w:cstheme="minorHAnsi"/>
          <w:sz w:val="20"/>
          <w:lang w:val="en-US"/>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65"/>
        <w:gridCol w:w="2267"/>
        <w:gridCol w:w="2265"/>
        <w:gridCol w:w="2263"/>
      </w:tblGrid>
      <w:tr w:rsidR="004B4C42" w:rsidRPr="004B4C42" w14:paraId="1B98F9DE" w14:textId="77777777" w:rsidTr="00355749">
        <w:tc>
          <w:tcPr>
            <w:tcW w:w="1250" w:type="pct"/>
            <w:shd w:val="clear" w:color="auto" w:fill="F3F3F3"/>
          </w:tcPr>
          <w:p w14:paraId="198AE55D" w14:textId="77777777" w:rsidR="004B4C42" w:rsidRPr="004B4C42" w:rsidRDefault="004B4C42" w:rsidP="00355749">
            <w:pPr>
              <w:rPr>
                <w:rFonts w:eastAsiaTheme="minorEastAsia"/>
                <w:b/>
                <w:sz w:val="16"/>
                <w:szCs w:val="18"/>
                <w:lang w:val="en-GB"/>
              </w:rPr>
            </w:pPr>
            <w:r w:rsidRPr="004B4C42">
              <w:rPr>
                <w:rFonts w:eastAsiaTheme="minorEastAsia"/>
                <w:b/>
                <w:sz w:val="16"/>
                <w:szCs w:val="18"/>
                <w:lang w:val="en-GB"/>
              </w:rPr>
              <w:t>MNOK (or TUSD)</w:t>
            </w:r>
          </w:p>
        </w:tc>
        <w:tc>
          <w:tcPr>
            <w:tcW w:w="1251" w:type="pct"/>
            <w:shd w:val="clear" w:color="auto" w:fill="F3F3F3"/>
          </w:tcPr>
          <w:p w14:paraId="008DDC35" w14:textId="435905EC" w:rsidR="004B4C42" w:rsidRPr="004B4C42" w:rsidRDefault="004B4C42" w:rsidP="00355749">
            <w:pPr>
              <w:jc w:val="center"/>
              <w:rPr>
                <w:rFonts w:eastAsiaTheme="minorEastAsia"/>
                <w:b/>
                <w:sz w:val="16"/>
                <w:szCs w:val="18"/>
                <w:lang w:val="en-GB"/>
              </w:rPr>
            </w:pPr>
            <w:r w:rsidRPr="004B4C42">
              <w:rPr>
                <w:rFonts w:eastAsiaTheme="minorEastAsia"/>
                <w:b/>
                <w:sz w:val="16"/>
                <w:szCs w:val="18"/>
                <w:lang w:val="en-GB"/>
              </w:rPr>
              <w:t>Q1 - QX 20</w:t>
            </w:r>
            <w:r w:rsidR="00794DE2">
              <w:rPr>
                <w:rFonts w:eastAsiaTheme="minorEastAsia"/>
                <w:b/>
                <w:sz w:val="16"/>
                <w:szCs w:val="18"/>
                <w:lang w:val="en-GB"/>
              </w:rPr>
              <w:t>2</w:t>
            </w:r>
            <w:r w:rsidRPr="004B4C42">
              <w:rPr>
                <w:rFonts w:eastAsiaTheme="minorEastAsia"/>
                <w:b/>
                <w:sz w:val="16"/>
                <w:szCs w:val="18"/>
                <w:lang w:val="en-GB"/>
              </w:rPr>
              <w:t>X</w:t>
            </w:r>
          </w:p>
        </w:tc>
        <w:tc>
          <w:tcPr>
            <w:tcW w:w="1250" w:type="pct"/>
            <w:shd w:val="clear" w:color="auto" w:fill="F3F3F3"/>
          </w:tcPr>
          <w:p w14:paraId="5D45924D" w14:textId="7661585A" w:rsidR="004B4C42" w:rsidRPr="004B4C42" w:rsidRDefault="004B4C42" w:rsidP="00355749">
            <w:pPr>
              <w:jc w:val="center"/>
              <w:rPr>
                <w:rFonts w:eastAsiaTheme="minorEastAsia"/>
                <w:b/>
                <w:sz w:val="16"/>
                <w:szCs w:val="18"/>
                <w:lang w:val="en-GB"/>
              </w:rPr>
            </w:pPr>
            <w:r w:rsidRPr="004B4C42">
              <w:rPr>
                <w:rFonts w:eastAsiaTheme="minorEastAsia"/>
                <w:b/>
                <w:sz w:val="16"/>
                <w:szCs w:val="18"/>
                <w:lang w:val="en-GB"/>
              </w:rPr>
              <w:t>20</w:t>
            </w:r>
            <w:r w:rsidR="00794DE2">
              <w:rPr>
                <w:rFonts w:eastAsiaTheme="minorEastAsia"/>
                <w:b/>
                <w:sz w:val="16"/>
                <w:szCs w:val="18"/>
                <w:lang w:val="en-GB"/>
              </w:rPr>
              <w:t>X</w:t>
            </w:r>
            <w:r w:rsidRPr="004B4C42">
              <w:rPr>
                <w:rFonts w:eastAsiaTheme="minorEastAsia"/>
                <w:b/>
                <w:sz w:val="16"/>
                <w:szCs w:val="18"/>
                <w:lang w:val="en-GB"/>
              </w:rPr>
              <w:t>X</w:t>
            </w:r>
          </w:p>
        </w:tc>
        <w:tc>
          <w:tcPr>
            <w:tcW w:w="1249" w:type="pct"/>
            <w:shd w:val="clear" w:color="auto" w:fill="F3F3F3"/>
          </w:tcPr>
          <w:p w14:paraId="510A84E4" w14:textId="56B9DA0C" w:rsidR="004B4C42" w:rsidRPr="004B4C42" w:rsidRDefault="004B4C42" w:rsidP="00355749">
            <w:pPr>
              <w:jc w:val="center"/>
              <w:rPr>
                <w:rFonts w:eastAsiaTheme="minorEastAsia"/>
                <w:b/>
                <w:sz w:val="16"/>
                <w:szCs w:val="18"/>
                <w:lang w:val="en-GB"/>
              </w:rPr>
            </w:pPr>
            <w:r w:rsidRPr="004B4C42">
              <w:rPr>
                <w:rFonts w:eastAsiaTheme="minorEastAsia"/>
                <w:b/>
                <w:sz w:val="16"/>
                <w:szCs w:val="18"/>
                <w:lang w:val="en-GB"/>
              </w:rPr>
              <w:t>20</w:t>
            </w:r>
            <w:r w:rsidR="00794DE2">
              <w:rPr>
                <w:rFonts w:eastAsiaTheme="minorEastAsia"/>
                <w:b/>
                <w:sz w:val="16"/>
                <w:szCs w:val="18"/>
                <w:lang w:val="en-GB"/>
              </w:rPr>
              <w:t>X</w:t>
            </w:r>
            <w:r w:rsidRPr="004B4C42">
              <w:rPr>
                <w:rFonts w:eastAsiaTheme="minorEastAsia"/>
                <w:b/>
                <w:sz w:val="16"/>
                <w:szCs w:val="18"/>
                <w:lang w:val="en-GB"/>
              </w:rPr>
              <w:t>X</w:t>
            </w:r>
          </w:p>
        </w:tc>
      </w:tr>
      <w:tr w:rsidR="004B4C42" w:rsidRPr="004B4C42" w14:paraId="3635EDD1" w14:textId="77777777" w:rsidTr="00355749">
        <w:tc>
          <w:tcPr>
            <w:tcW w:w="1250" w:type="pct"/>
            <w:shd w:val="clear" w:color="auto" w:fill="F3F3F3"/>
          </w:tcPr>
          <w:p w14:paraId="56B687B9" w14:textId="77777777" w:rsidR="004B4C42" w:rsidRPr="004B4C42" w:rsidRDefault="004B4C42" w:rsidP="00355749">
            <w:pPr>
              <w:rPr>
                <w:rFonts w:eastAsiaTheme="minorEastAsia"/>
                <w:sz w:val="16"/>
                <w:szCs w:val="18"/>
                <w:lang w:val="en-GB"/>
              </w:rPr>
            </w:pPr>
            <w:r w:rsidRPr="004B4C42">
              <w:rPr>
                <w:rFonts w:eastAsiaTheme="minorEastAsia"/>
                <w:sz w:val="16"/>
                <w:szCs w:val="18"/>
                <w:lang w:val="en-GB"/>
              </w:rPr>
              <w:t>Revenue</w:t>
            </w:r>
          </w:p>
        </w:tc>
        <w:tc>
          <w:tcPr>
            <w:tcW w:w="1251" w:type="pct"/>
          </w:tcPr>
          <w:p w14:paraId="3381A863" w14:textId="77777777" w:rsidR="004B4C42" w:rsidRPr="004B4C42" w:rsidRDefault="004B4C42" w:rsidP="00355749">
            <w:pPr>
              <w:rPr>
                <w:rFonts w:eastAsiaTheme="minorEastAsia"/>
                <w:sz w:val="16"/>
                <w:szCs w:val="18"/>
                <w:lang w:val="en-GB"/>
              </w:rPr>
            </w:pPr>
          </w:p>
        </w:tc>
        <w:tc>
          <w:tcPr>
            <w:tcW w:w="1250" w:type="pct"/>
          </w:tcPr>
          <w:p w14:paraId="1025B230" w14:textId="77777777" w:rsidR="004B4C42" w:rsidRPr="004B4C42" w:rsidRDefault="004B4C42" w:rsidP="00355749">
            <w:pPr>
              <w:rPr>
                <w:rFonts w:eastAsiaTheme="minorEastAsia"/>
                <w:sz w:val="16"/>
                <w:szCs w:val="18"/>
                <w:lang w:val="en-GB"/>
              </w:rPr>
            </w:pPr>
          </w:p>
        </w:tc>
        <w:tc>
          <w:tcPr>
            <w:tcW w:w="1249" w:type="pct"/>
          </w:tcPr>
          <w:p w14:paraId="11319536" w14:textId="77777777" w:rsidR="004B4C42" w:rsidRPr="004B4C42" w:rsidRDefault="004B4C42" w:rsidP="00355749">
            <w:pPr>
              <w:rPr>
                <w:rFonts w:eastAsiaTheme="minorEastAsia"/>
                <w:sz w:val="16"/>
                <w:szCs w:val="18"/>
                <w:lang w:val="en-GB"/>
              </w:rPr>
            </w:pPr>
          </w:p>
        </w:tc>
      </w:tr>
      <w:tr w:rsidR="004B4C42" w:rsidRPr="004B4C42" w14:paraId="38292A13" w14:textId="77777777" w:rsidTr="00355749">
        <w:tc>
          <w:tcPr>
            <w:tcW w:w="1250" w:type="pct"/>
            <w:shd w:val="clear" w:color="auto" w:fill="F3F3F3"/>
          </w:tcPr>
          <w:p w14:paraId="4DF1436A" w14:textId="77777777" w:rsidR="004B4C42" w:rsidRPr="004B4C42" w:rsidRDefault="004B4C42" w:rsidP="00355749">
            <w:pPr>
              <w:rPr>
                <w:rFonts w:eastAsiaTheme="minorEastAsia"/>
                <w:sz w:val="16"/>
                <w:szCs w:val="18"/>
                <w:lang w:val="en-GB"/>
              </w:rPr>
            </w:pPr>
            <w:r w:rsidRPr="004B4C42">
              <w:rPr>
                <w:rFonts w:eastAsiaTheme="minorEastAsia"/>
                <w:sz w:val="16"/>
                <w:szCs w:val="18"/>
                <w:lang w:val="en-GB"/>
              </w:rPr>
              <w:t>Operating result</w:t>
            </w:r>
          </w:p>
        </w:tc>
        <w:tc>
          <w:tcPr>
            <w:tcW w:w="1251" w:type="pct"/>
          </w:tcPr>
          <w:p w14:paraId="3BB42734" w14:textId="77777777" w:rsidR="004B4C42" w:rsidRPr="004B4C42" w:rsidRDefault="004B4C42" w:rsidP="00355749">
            <w:pPr>
              <w:rPr>
                <w:rFonts w:eastAsiaTheme="minorEastAsia"/>
                <w:sz w:val="16"/>
                <w:szCs w:val="18"/>
                <w:lang w:val="en-GB"/>
              </w:rPr>
            </w:pPr>
          </w:p>
        </w:tc>
        <w:tc>
          <w:tcPr>
            <w:tcW w:w="1250" w:type="pct"/>
          </w:tcPr>
          <w:p w14:paraId="0950CCBC" w14:textId="77777777" w:rsidR="004B4C42" w:rsidRPr="004B4C42" w:rsidRDefault="004B4C42" w:rsidP="00355749">
            <w:pPr>
              <w:rPr>
                <w:rFonts w:eastAsiaTheme="minorEastAsia"/>
                <w:sz w:val="16"/>
                <w:szCs w:val="18"/>
                <w:lang w:val="en-GB"/>
              </w:rPr>
            </w:pPr>
          </w:p>
        </w:tc>
        <w:tc>
          <w:tcPr>
            <w:tcW w:w="1249" w:type="pct"/>
          </w:tcPr>
          <w:p w14:paraId="7BCB0FC6" w14:textId="77777777" w:rsidR="004B4C42" w:rsidRPr="004B4C42" w:rsidRDefault="004B4C42" w:rsidP="00355749">
            <w:pPr>
              <w:rPr>
                <w:rFonts w:eastAsiaTheme="minorEastAsia"/>
                <w:sz w:val="16"/>
                <w:szCs w:val="18"/>
                <w:lang w:val="en-GB"/>
              </w:rPr>
            </w:pPr>
          </w:p>
        </w:tc>
      </w:tr>
      <w:tr w:rsidR="004B4C42" w:rsidRPr="00706E66" w14:paraId="2A59BF31" w14:textId="77777777" w:rsidTr="00355749">
        <w:tc>
          <w:tcPr>
            <w:tcW w:w="1250" w:type="pct"/>
            <w:shd w:val="clear" w:color="auto" w:fill="F3F3F3"/>
          </w:tcPr>
          <w:p w14:paraId="1E3FDA38" w14:textId="77777777" w:rsidR="004B4C42" w:rsidRPr="004B4C42" w:rsidRDefault="004B4C42" w:rsidP="00355749">
            <w:pPr>
              <w:rPr>
                <w:rFonts w:eastAsiaTheme="minorEastAsia"/>
                <w:sz w:val="16"/>
                <w:szCs w:val="18"/>
                <w:lang w:val="en-GB"/>
              </w:rPr>
            </w:pPr>
            <w:r w:rsidRPr="004B4C42">
              <w:rPr>
                <w:rFonts w:eastAsiaTheme="minorEastAsia"/>
                <w:sz w:val="16"/>
                <w:szCs w:val="18"/>
                <w:lang w:val="en-GB"/>
              </w:rPr>
              <w:t>Profit/loss for the period</w:t>
            </w:r>
          </w:p>
        </w:tc>
        <w:tc>
          <w:tcPr>
            <w:tcW w:w="1251" w:type="pct"/>
          </w:tcPr>
          <w:p w14:paraId="12A35C7B" w14:textId="77777777" w:rsidR="004B4C42" w:rsidRPr="004B4C42" w:rsidRDefault="004B4C42" w:rsidP="00355749">
            <w:pPr>
              <w:rPr>
                <w:rFonts w:eastAsiaTheme="minorEastAsia"/>
                <w:sz w:val="16"/>
                <w:szCs w:val="18"/>
                <w:lang w:val="en-GB"/>
              </w:rPr>
            </w:pPr>
          </w:p>
        </w:tc>
        <w:tc>
          <w:tcPr>
            <w:tcW w:w="1250" w:type="pct"/>
          </w:tcPr>
          <w:p w14:paraId="201F8EC3" w14:textId="77777777" w:rsidR="004B4C42" w:rsidRPr="004B4C42" w:rsidRDefault="004B4C42" w:rsidP="00355749">
            <w:pPr>
              <w:rPr>
                <w:rFonts w:eastAsiaTheme="minorEastAsia"/>
                <w:sz w:val="16"/>
                <w:szCs w:val="18"/>
                <w:lang w:val="en-GB"/>
              </w:rPr>
            </w:pPr>
          </w:p>
        </w:tc>
        <w:tc>
          <w:tcPr>
            <w:tcW w:w="1249" w:type="pct"/>
          </w:tcPr>
          <w:p w14:paraId="75B48B87" w14:textId="77777777" w:rsidR="004B4C42" w:rsidRPr="004B4C42" w:rsidRDefault="004B4C42" w:rsidP="00355749">
            <w:pPr>
              <w:rPr>
                <w:rFonts w:eastAsiaTheme="minorEastAsia"/>
                <w:sz w:val="16"/>
                <w:szCs w:val="18"/>
                <w:lang w:val="en-GB"/>
              </w:rPr>
            </w:pPr>
          </w:p>
        </w:tc>
      </w:tr>
      <w:tr w:rsidR="004B4C42" w:rsidRPr="004B4C42" w14:paraId="3E069C65" w14:textId="77777777" w:rsidTr="00355749">
        <w:tc>
          <w:tcPr>
            <w:tcW w:w="1250" w:type="pct"/>
            <w:shd w:val="clear" w:color="auto" w:fill="F3F3F3"/>
          </w:tcPr>
          <w:p w14:paraId="50088C19" w14:textId="77777777" w:rsidR="004B4C42" w:rsidRPr="004B4C42" w:rsidRDefault="004B4C42" w:rsidP="00355749">
            <w:pPr>
              <w:rPr>
                <w:rFonts w:eastAsiaTheme="minorEastAsia"/>
                <w:sz w:val="16"/>
                <w:szCs w:val="18"/>
                <w:lang w:val="en-GB"/>
              </w:rPr>
            </w:pPr>
            <w:r w:rsidRPr="004B4C42">
              <w:rPr>
                <w:rFonts w:eastAsiaTheme="minorEastAsia"/>
                <w:sz w:val="16"/>
                <w:szCs w:val="18"/>
                <w:lang w:val="en-GB"/>
              </w:rPr>
              <w:lastRenderedPageBreak/>
              <w:t>Total assets</w:t>
            </w:r>
          </w:p>
        </w:tc>
        <w:tc>
          <w:tcPr>
            <w:tcW w:w="1251" w:type="pct"/>
          </w:tcPr>
          <w:p w14:paraId="72F377FE" w14:textId="77777777" w:rsidR="004B4C42" w:rsidRPr="004B4C42" w:rsidRDefault="004B4C42" w:rsidP="00355749">
            <w:pPr>
              <w:rPr>
                <w:rFonts w:eastAsiaTheme="minorEastAsia"/>
                <w:sz w:val="16"/>
                <w:szCs w:val="18"/>
                <w:lang w:val="en-GB"/>
              </w:rPr>
            </w:pPr>
          </w:p>
        </w:tc>
        <w:tc>
          <w:tcPr>
            <w:tcW w:w="1250" w:type="pct"/>
          </w:tcPr>
          <w:p w14:paraId="014F2E1C" w14:textId="77777777" w:rsidR="004B4C42" w:rsidRPr="004B4C42" w:rsidRDefault="004B4C42" w:rsidP="00355749">
            <w:pPr>
              <w:rPr>
                <w:rFonts w:eastAsiaTheme="minorEastAsia"/>
                <w:sz w:val="16"/>
                <w:szCs w:val="18"/>
                <w:lang w:val="en-GB"/>
              </w:rPr>
            </w:pPr>
          </w:p>
        </w:tc>
        <w:tc>
          <w:tcPr>
            <w:tcW w:w="1249" w:type="pct"/>
          </w:tcPr>
          <w:p w14:paraId="55A88BC3" w14:textId="77777777" w:rsidR="004B4C42" w:rsidRPr="004B4C42" w:rsidRDefault="004B4C42" w:rsidP="00355749">
            <w:pPr>
              <w:rPr>
                <w:rFonts w:eastAsiaTheme="minorEastAsia"/>
                <w:sz w:val="16"/>
                <w:szCs w:val="18"/>
                <w:lang w:val="en-GB"/>
              </w:rPr>
            </w:pPr>
          </w:p>
        </w:tc>
      </w:tr>
      <w:tr w:rsidR="004B4C42" w:rsidRPr="004B4C42" w14:paraId="35F0B22B" w14:textId="77777777" w:rsidTr="00355749">
        <w:tc>
          <w:tcPr>
            <w:tcW w:w="1250" w:type="pct"/>
            <w:shd w:val="clear" w:color="auto" w:fill="F3F3F3"/>
          </w:tcPr>
          <w:p w14:paraId="1EAAAADB" w14:textId="77777777" w:rsidR="004B4C42" w:rsidRPr="004B4C42" w:rsidRDefault="004B4C42" w:rsidP="00355749">
            <w:pPr>
              <w:rPr>
                <w:rFonts w:eastAsiaTheme="minorEastAsia"/>
                <w:sz w:val="16"/>
                <w:szCs w:val="18"/>
                <w:lang w:val="en-GB"/>
              </w:rPr>
            </w:pPr>
            <w:r w:rsidRPr="004B4C42">
              <w:rPr>
                <w:rFonts w:eastAsiaTheme="minorEastAsia"/>
                <w:sz w:val="16"/>
                <w:szCs w:val="18"/>
                <w:lang w:val="en-GB"/>
              </w:rPr>
              <w:t>Equity</w:t>
            </w:r>
          </w:p>
        </w:tc>
        <w:tc>
          <w:tcPr>
            <w:tcW w:w="1251" w:type="pct"/>
          </w:tcPr>
          <w:p w14:paraId="14695712" w14:textId="77777777" w:rsidR="004B4C42" w:rsidRPr="004B4C42" w:rsidRDefault="004B4C42" w:rsidP="00355749">
            <w:pPr>
              <w:rPr>
                <w:rFonts w:eastAsiaTheme="minorEastAsia"/>
                <w:sz w:val="16"/>
                <w:szCs w:val="18"/>
                <w:lang w:val="en-GB"/>
              </w:rPr>
            </w:pPr>
          </w:p>
        </w:tc>
        <w:tc>
          <w:tcPr>
            <w:tcW w:w="1250" w:type="pct"/>
          </w:tcPr>
          <w:p w14:paraId="283E1A44" w14:textId="77777777" w:rsidR="004B4C42" w:rsidRPr="004B4C42" w:rsidRDefault="004B4C42" w:rsidP="00355749">
            <w:pPr>
              <w:rPr>
                <w:rFonts w:eastAsiaTheme="minorEastAsia"/>
                <w:sz w:val="16"/>
                <w:szCs w:val="18"/>
                <w:lang w:val="en-GB"/>
              </w:rPr>
            </w:pPr>
          </w:p>
        </w:tc>
        <w:tc>
          <w:tcPr>
            <w:tcW w:w="1249" w:type="pct"/>
          </w:tcPr>
          <w:p w14:paraId="71827C8A" w14:textId="77777777" w:rsidR="004B4C42" w:rsidRPr="004B4C42" w:rsidRDefault="004B4C42" w:rsidP="00355749">
            <w:pPr>
              <w:rPr>
                <w:rFonts w:eastAsiaTheme="minorEastAsia"/>
                <w:sz w:val="16"/>
                <w:szCs w:val="18"/>
                <w:lang w:val="en-GB"/>
              </w:rPr>
            </w:pPr>
          </w:p>
        </w:tc>
      </w:tr>
    </w:tbl>
    <w:p w14:paraId="6DEFF528" w14:textId="77777777" w:rsidR="004B4C42" w:rsidRPr="00A8106A" w:rsidRDefault="004B4C42" w:rsidP="004B4C42">
      <w:pPr>
        <w:pStyle w:val="test"/>
        <w:spacing w:after="120" w:line="240" w:lineRule="auto"/>
        <w:ind w:left="357"/>
        <w:rPr>
          <w:rFonts w:asciiTheme="minorHAnsi" w:hAnsiTheme="minorHAnsi" w:cstheme="minorHAnsi"/>
          <w:sz w:val="20"/>
          <w:lang w:val="en-US"/>
        </w:rPr>
      </w:pPr>
    </w:p>
    <w:p w14:paraId="299D020F" w14:textId="38916E97" w:rsidR="004B4C42" w:rsidRPr="00961FED" w:rsidRDefault="004B4C42" w:rsidP="00E76051">
      <w:pPr>
        <w:pStyle w:val="test"/>
        <w:numPr>
          <w:ilvl w:val="0"/>
          <w:numId w:val="9"/>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Please state the Issuer’s auditor for the last two years. If the Issuer has changed auditor during the last two years, information must be </w:t>
      </w:r>
      <w:r w:rsidRPr="00961FED">
        <w:rPr>
          <w:rFonts w:asciiTheme="minorHAnsi" w:hAnsiTheme="minorHAnsi" w:cstheme="minorHAnsi"/>
          <w:sz w:val="20"/>
          <w:lang w:val="en-GB"/>
        </w:rPr>
        <w:t>provided on this and the reason for the change stated</w:t>
      </w:r>
      <w:r w:rsidR="002B7E41" w:rsidRPr="00961FED">
        <w:rPr>
          <w:rFonts w:asciiTheme="minorHAnsi" w:hAnsiTheme="minorHAnsi" w:cstheme="minorHAnsi"/>
          <w:sz w:val="20"/>
          <w:lang w:val="en-GB"/>
        </w:rPr>
        <w:t xml:space="preserve"> (cf. Notice </w:t>
      </w:r>
      <w:r w:rsidR="007651AB" w:rsidRPr="00961FED">
        <w:rPr>
          <w:rFonts w:asciiTheme="minorHAnsi" w:hAnsiTheme="minorHAnsi" w:cstheme="minorHAnsi"/>
          <w:sz w:val="20"/>
          <w:lang w:val="en-GB"/>
        </w:rPr>
        <w:t>2</w:t>
      </w:r>
      <w:r w:rsidR="002B7E41" w:rsidRPr="00961FED">
        <w:rPr>
          <w:rFonts w:asciiTheme="minorHAnsi" w:hAnsiTheme="minorHAnsi" w:cstheme="minorHAnsi"/>
          <w:sz w:val="20"/>
          <w:lang w:val="en-GB"/>
        </w:rPr>
        <w:t>.</w:t>
      </w:r>
      <w:r w:rsidR="007651AB" w:rsidRPr="00961FED">
        <w:rPr>
          <w:rFonts w:asciiTheme="minorHAnsi" w:hAnsiTheme="minorHAnsi" w:cstheme="minorHAnsi"/>
          <w:sz w:val="20"/>
          <w:lang w:val="en-GB"/>
        </w:rPr>
        <w:t>2</w:t>
      </w:r>
      <w:r w:rsidR="002B7E41" w:rsidRPr="00961FED">
        <w:rPr>
          <w:rFonts w:asciiTheme="minorHAnsi" w:hAnsiTheme="minorHAnsi" w:cstheme="minorHAnsi"/>
          <w:sz w:val="20"/>
          <w:lang w:val="en-GB"/>
        </w:rPr>
        <w:t xml:space="preserve"> section 2 (2) item 13)</w:t>
      </w:r>
      <w:r w:rsidRPr="00961FED">
        <w:rPr>
          <w:rFonts w:asciiTheme="minorHAnsi" w:hAnsiTheme="minorHAnsi" w:cstheme="minorHAnsi"/>
          <w:sz w:val="20"/>
          <w:lang w:val="en-GB"/>
        </w:rPr>
        <w:t>.</w:t>
      </w:r>
    </w:p>
    <w:p w14:paraId="0A68427B" w14:textId="747BAE14" w:rsidR="0002001C" w:rsidRPr="00961FED" w:rsidRDefault="004B4C42" w:rsidP="00E76051">
      <w:pPr>
        <w:pStyle w:val="test"/>
        <w:numPr>
          <w:ilvl w:val="0"/>
          <w:numId w:val="9"/>
        </w:numPr>
        <w:spacing w:after="120" w:line="240" w:lineRule="auto"/>
        <w:ind w:left="714" w:hanging="357"/>
        <w:jc w:val="both"/>
        <w:rPr>
          <w:rFonts w:asciiTheme="minorHAnsi" w:hAnsiTheme="minorHAnsi" w:cstheme="minorHAnsi"/>
          <w:sz w:val="20"/>
          <w:lang w:val="en-GB"/>
        </w:rPr>
      </w:pPr>
      <w:r w:rsidRPr="00961FED">
        <w:rPr>
          <w:rFonts w:asciiTheme="minorHAnsi" w:hAnsiTheme="minorHAnsi" w:cstheme="minorHAnsi"/>
          <w:sz w:val="20"/>
          <w:lang w:val="en-GB"/>
        </w:rPr>
        <w:t xml:space="preserve">Please provide information on </w:t>
      </w:r>
      <w:r w:rsidR="00945D33" w:rsidRPr="00961FED">
        <w:rPr>
          <w:rFonts w:asciiTheme="minorHAnsi" w:hAnsiTheme="minorHAnsi" w:cstheme="minorHAnsi"/>
          <w:sz w:val="20"/>
          <w:lang w:val="en-GB"/>
        </w:rPr>
        <w:t xml:space="preserve">whether the most recent auditor’s report expresses a qualified opinion or includes any emphasis of matter paragraphs </w:t>
      </w:r>
      <w:r w:rsidR="002B7E41" w:rsidRPr="00961FED">
        <w:rPr>
          <w:rFonts w:asciiTheme="minorHAnsi" w:hAnsiTheme="minorHAnsi" w:cstheme="minorHAnsi"/>
          <w:sz w:val="20"/>
          <w:lang w:val="en-GB"/>
        </w:rPr>
        <w:t xml:space="preserve">(cf. Notice </w:t>
      </w:r>
      <w:r w:rsidR="007651AB" w:rsidRPr="00961FED">
        <w:rPr>
          <w:rFonts w:asciiTheme="minorHAnsi" w:hAnsiTheme="minorHAnsi" w:cstheme="minorHAnsi"/>
          <w:sz w:val="20"/>
          <w:lang w:val="en-GB"/>
        </w:rPr>
        <w:t>2</w:t>
      </w:r>
      <w:r w:rsidR="002B7E41" w:rsidRPr="00961FED">
        <w:rPr>
          <w:rFonts w:asciiTheme="minorHAnsi" w:hAnsiTheme="minorHAnsi" w:cstheme="minorHAnsi"/>
          <w:sz w:val="20"/>
          <w:lang w:val="en-GB"/>
        </w:rPr>
        <w:t>.</w:t>
      </w:r>
      <w:r w:rsidR="007651AB" w:rsidRPr="00961FED">
        <w:rPr>
          <w:rFonts w:asciiTheme="minorHAnsi" w:hAnsiTheme="minorHAnsi" w:cstheme="minorHAnsi"/>
          <w:sz w:val="20"/>
          <w:lang w:val="en-GB"/>
        </w:rPr>
        <w:t>2</w:t>
      </w:r>
      <w:r w:rsidR="002B7E41" w:rsidRPr="00961FED">
        <w:rPr>
          <w:rFonts w:asciiTheme="minorHAnsi" w:hAnsiTheme="minorHAnsi" w:cstheme="minorHAnsi"/>
          <w:sz w:val="20"/>
          <w:lang w:val="en-GB"/>
        </w:rPr>
        <w:t xml:space="preserve"> section 2 (2) item 13)</w:t>
      </w:r>
      <w:r w:rsidRPr="00961FED">
        <w:rPr>
          <w:rFonts w:asciiTheme="minorHAnsi" w:hAnsiTheme="minorHAnsi" w:cstheme="minorHAnsi"/>
          <w:sz w:val="20"/>
          <w:lang w:val="en-GB"/>
        </w:rPr>
        <w:t xml:space="preserve">. </w:t>
      </w:r>
    </w:p>
    <w:p w14:paraId="2E2E9C3C" w14:textId="77777777" w:rsidR="004B4C42" w:rsidRDefault="004B4C42" w:rsidP="007E312C">
      <w:pPr>
        <w:pStyle w:val="test"/>
        <w:spacing w:after="0"/>
        <w:rPr>
          <w:rFonts w:asciiTheme="minorHAnsi" w:hAnsiTheme="minorHAnsi"/>
          <w:sz w:val="20"/>
          <w:lang w:val="en-GB"/>
        </w:rPr>
      </w:pPr>
    </w:p>
    <w:tbl>
      <w:tblPr>
        <w:tblStyle w:val="TableGrid"/>
        <w:tblW w:w="0" w:type="auto"/>
        <w:shd w:val="clear" w:color="auto" w:fill="F2F2F2" w:themeFill="background1" w:themeFillShade="F2"/>
        <w:tblLook w:val="04A0" w:firstRow="1" w:lastRow="0" w:firstColumn="1" w:lastColumn="0" w:noHBand="0" w:noVBand="1"/>
      </w:tblPr>
      <w:tblGrid>
        <w:gridCol w:w="9060"/>
      </w:tblGrid>
      <w:tr w:rsidR="0002001C" w:rsidRPr="00E96F09" w14:paraId="5D973B8B" w14:textId="77777777" w:rsidTr="0002001C">
        <w:tc>
          <w:tcPr>
            <w:tcW w:w="9060" w:type="dxa"/>
            <w:shd w:val="clear" w:color="auto" w:fill="F2F2F2" w:themeFill="background1" w:themeFillShade="F2"/>
          </w:tcPr>
          <w:p w14:paraId="230E7DB4" w14:textId="087897F8" w:rsidR="004B4C42" w:rsidRPr="008C2894" w:rsidRDefault="004B4C42" w:rsidP="004B4C42">
            <w:pPr>
              <w:rPr>
                <w:rFonts w:eastAsiaTheme="minorEastAsia"/>
                <w:b/>
                <w:sz w:val="18"/>
                <w:szCs w:val="18"/>
                <w:lang w:val="en-GB"/>
              </w:rPr>
            </w:pPr>
            <w:r w:rsidRPr="008C2894">
              <w:rPr>
                <w:rFonts w:eastAsiaTheme="minorEastAsia"/>
                <w:b/>
                <w:sz w:val="18"/>
                <w:szCs w:val="18"/>
                <w:lang w:val="en-GB"/>
              </w:rPr>
              <w:t>Conclusion</w:t>
            </w:r>
            <w:r w:rsidR="000D5B8C" w:rsidRPr="008C2894">
              <w:rPr>
                <w:rFonts w:eastAsiaTheme="minorEastAsia"/>
                <w:b/>
                <w:sz w:val="18"/>
                <w:szCs w:val="18"/>
                <w:lang w:val="en-GB"/>
              </w:rPr>
              <w:t xml:space="preserve"> – C</w:t>
            </w:r>
            <w:r w:rsidRPr="008C2894">
              <w:rPr>
                <w:rFonts w:eastAsiaTheme="minorEastAsia"/>
                <w:b/>
                <w:sz w:val="18"/>
                <w:szCs w:val="18"/>
                <w:lang w:val="en-GB"/>
              </w:rPr>
              <w:t xml:space="preserve">ommercial criteria </w:t>
            </w:r>
          </w:p>
          <w:p w14:paraId="7DF920F4" w14:textId="77777777" w:rsidR="004B4C42" w:rsidRPr="008C2894" w:rsidRDefault="004B4C42" w:rsidP="004B4C42">
            <w:pPr>
              <w:rPr>
                <w:rFonts w:eastAsiaTheme="minorEastAsia"/>
                <w:b/>
                <w:sz w:val="18"/>
                <w:szCs w:val="18"/>
                <w:lang w:val="en-GB"/>
              </w:rPr>
            </w:pPr>
          </w:p>
          <w:p w14:paraId="519BB5B8" w14:textId="5C61E3DF" w:rsidR="0002001C" w:rsidRPr="000D5B8C" w:rsidRDefault="004B4C42" w:rsidP="008C2894">
            <w:pPr>
              <w:pStyle w:val="test"/>
              <w:spacing w:after="0"/>
              <w:jc w:val="center"/>
              <w:rPr>
                <w:sz w:val="20"/>
                <w:lang w:val="en-US"/>
              </w:rPr>
            </w:pPr>
            <w:r w:rsidRPr="008C2894">
              <w:rPr>
                <w:b/>
                <w:sz w:val="18"/>
                <w:szCs w:val="18"/>
                <w:lang w:val="en-GB"/>
              </w:rPr>
              <w:t>--------------------------- Reserved for Oslo Børs ---------------------------</w:t>
            </w:r>
          </w:p>
        </w:tc>
      </w:tr>
    </w:tbl>
    <w:p w14:paraId="4EB65CD5" w14:textId="45143484" w:rsidR="0002001C" w:rsidRPr="001741C7" w:rsidRDefault="0002001C" w:rsidP="0002001C">
      <w:pPr>
        <w:pStyle w:val="Heading3"/>
        <w:rPr>
          <w:sz w:val="20"/>
          <w:szCs w:val="20"/>
        </w:rPr>
      </w:pPr>
      <w:r w:rsidRPr="001741C7">
        <w:rPr>
          <w:sz w:val="20"/>
          <w:szCs w:val="20"/>
        </w:rPr>
        <w:t>Management and board of directors</w:t>
      </w:r>
    </w:p>
    <w:p w14:paraId="6CE41AF0" w14:textId="3FE7BD08" w:rsidR="0090231C" w:rsidRPr="000D5B8C" w:rsidRDefault="0002001C" w:rsidP="006636AB">
      <w:pPr>
        <w:pStyle w:val="Heading4"/>
        <w:rPr>
          <w:b w:val="0"/>
        </w:rPr>
      </w:pPr>
      <w:r w:rsidRPr="000D5B8C">
        <w:rPr>
          <w:b w:val="0"/>
        </w:rPr>
        <w:t>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706E66" w14:paraId="6B82F156" w14:textId="77777777" w:rsidTr="001549E1">
        <w:tc>
          <w:tcPr>
            <w:tcW w:w="9212" w:type="dxa"/>
            <w:shd w:val="clear" w:color="auto" w:fill="F3F3F3"/>
          </w:tcPr>
          <w:p w14:paraId="37045225" w14:textId="4CD64842" w:rsidR="004B4C42" w:rsidRPr="00961FED" w:rsidRDefault="004B4C42" w:rsidP="00ED5298">
            <w:pPr>
              <w:spacing w:after="120"/>
              <w:rPr>
                <w:b/>
                <w:sz w:val="18"/>
                <w:szCs w:val="20"/>
                <w:lang w:val="en-GB"/>
              </w:rPr>
            </w:pPr>
            <w:r w:rsidRPr="00961FED">
              <w:rPr>
                <w:b/>
                <w:sz w:val="18"/>
                <w:szCs w:val="20"/>
                <w:lang w:val="en-GB"/>
              </w:rPr>
              <w:t xml:space="preserve">RULE BOOK PART II SECTION </w:t>
            </w:r>
            <w:r w:rsidR="008A1971" w:rsidRPr="00961FED">
              <w:rPr>
                <w:b/>
                <w:sz w:val="18"/>
                <w:szCs w:val="20"/>
                <w:lang w:val="en-GB"/>
              </w:rPr>
              <w:t>2</w:t>
            </w:r>
            <w:r w:rsidRPr="00961FED">
              <w:rPr>
                <w:b/>
                <w:sz w:val="18"/>
                <w:szCs w:val="20"/>
                <w:lang w:val="en-GB"/>
              </w:rPr>
              <w:t>.</w:t>
            </w:r>
            <w:r w:rsidR="008A1971" w:rsidRPr="00961FED">
              <w:rPr>
                <w:b/>
                <w:sz w:val="18"/>
                <w:szCs w:val="20"/>
                <w:lang w:val="en-GB"/>
              </w:rPr>
              <w:t>1</w:t>
            </w:r>
            <w:r w:rsidRPr="00961FED">
              <w:rPr>
                <w:b/>
                <w:sz w:val="18"/>
                <w:szCs w:val="20"/>
                <w:lang w:val="en-GB"/>
              </w:rPr>
              <w:t>.4.1</w:t>
            </w:r>
          </w:p>
          <w:p w14:paraId="082C0DE0" w14:textId="77777777" w:rsidR="00171DA7" w:rsidRDefault="002E6B5C" w:rsidP="00C8240D">
            <w:pPr>
              <w:pStyle w:val="test"/>
              <w:numPr>
                <w:ilvl w:val="0"/>
                <w:numId w:val="30"/>
              </w:numPr>
              <w:spacing w:after="120" w:line="240" w:lineRule="auto"/>
              <w:rPr>
                <w:rFonts w:eastAsiaTheme="minorEastAsia"/>
                <w:sz w:val="18"/>
                <w:szCs w:val="18"/>
                <w:lang w:val="en-GB"/>
              </w:rPr>
            </w:pPr>
            <w:r>
              <w:rPr>
                <w:rFonts w:eastAsiaTheme="minorEastAsia"/>
                <w:sz w:val="18"/>
                <w:szCs w:val="18"/>
                <w:lang w:val="en-GB"/>
              </w:rPr>
              <w:t xml:space="preserve">The </w:t>
            </w:r>
            <w:r w:rsidRPr="002E6B5C">
              <w:rPr>
                <w:rFonts w:eastAsiaTheme="minorEastAsia"/>
                <w:sz w:val="18"/>
                <w:szCs w:val="18"/>
                <w:lang w:val="en-GB"/>
              </w:rPr>
              <w:t>individual members of the Issuer’s executive management must not be persons who have acted in such a manner as to make them unfit to participate in the management of an Issuer admitted to trading on Euronext Growth Oslo.</w:t>
            </w:r>
          </w:p>
          <w:p w14:paraId="06043C1E" w14:textId="45657BBA" w:rsidR="002E6B5C" w:rsidRPr="00A76040" w:rsidRDefault="002E6B5C" w:rsidP="00C8240D">
            <w:pPr>
              <w:pStyle w:val="test"/>
              <w:numPr>
                <w:ilvl w:val="0"/>
                <w:numId w:val="30"/>
              </w:numPr>
              <w:spacing w:after="120" w:line="240" w:lineRule="auto"/>
              <w:rPr>
                <w:rFonts w:eastAsiaTheme="minorEastAsia"/>
                <w:sz w:val="18"/>
                <w:szCs w:val="18"/>
                <w:lang w:val="en-GB"/>
              </w:rPr>
            </w:pPr>
            <w:r>
              <w:rPr>
                <w:rFonts w:eastAsiaTheme="minorEastAsia"/>
                <w:sz w:val="18"/>
                <w:szCs w:val="18"/>
                <w:lang w:val="en-GB"/>
              </w:rPr>
              <w:t xml:space="preserve">The </w:t>
            </w:r>
            <w:r w:rsidRPr="002E6B5C">
              <w:rPr>
                <w:rFonts w:eastAsiaTheme="minorEastAsia"/>
                <w:sz w:val="18"/>
                <w:szCs w:val="18"/>
                <w:lang w:val="en-GB"/>
              </w:rPr>
              <w:t>Issuer must have sufficient expertise and resources to satisfy the requirements for the correct and timely management and distribution of information, including submission of financial accounts in accordance with applicable laws and regulations.</w:t>
            </w:r>
          </w:p>
        </w:tc>
      </w:tr>
    </w:tbl>
    <w:p w14:paraId="1971510D" w14:textId="77777777" w:rsidR="00E55635" w:rsidRDefault="00E55635" w:rsidP="00E55635">
      <w:pPr>
        <w:rPr>
          <w:sz w:val="20"/>
          <w:szCs w:val="20"/>
          <w:lang w:val="en-GB"/>
        </w:rPr>
      </w:pPr>
    </w:p>
    <w:p w14:paraId="4D0C8D33" w14:textId="3CA0072C" w:rsidR="004B4C42" w:rsidRPr="00A8106A" w:rsidRDefault="004B4C42" w:rsidP="00E76051">
      <w:pPr>
        <w:pStyle w:val="test"/>
        <w:numPr>
          <w:ilvl w:val="0"/>
          <w:numId w:val="10"/>
        </w:numPr>
        <w:spacing w:after="120" w:line="240" w:lineRule="auto"/>
        <w:jc w:val="both"/>
        <w:rPr>
          <w:rFonts w:asciiTheme="minorHAnsi" w:hAnsiTheme="minorHAnsi" w:cstheme="minorHAnsi"/>
          <w:sz w:val="20"/>
          <w:lang w:val="en-GB"/>
        </w:rPr>
      </w:pPr>
      <w:r w:rsidRPr="00A8106A">
        <w:rPr>
          <w:rFonts w:asciiTheme="minorHAnsi" w:hAnsiTheme="minorHAnsi" w:cstheme="minorHAnsi"/>
          <w:sz w:val="20"/>
          <w:lang w:val="en-GB"/>
        </w:rPr>
        <w:t xml:space="preserve">Please fill in the table </w:t>
      </w:r>
      <w:r w:rsidRPr="00135F03">
        <w:rPr>
          <w:rFonts w:asciiTheme="minorHAnsi" w:hAnsiTheme="minorHAnsi" w:cstheme="minorHAnsi"/>
          <w:sz w:val="20"/>
          <w:lang w:val="en-GB"/>
        </w:rPr>
        <w:t>below with the details of the Issuer’s executive management</w:t>
      </w:r>
      <w:r w:rsidR="0082074C" w:rsidRPr="00135F03">
        <w:rPr>
          <w:rFonts w:asciiTheme="minorHAnsi" w:hAnsiTheme="minorHAnsi" w:cstheme="minorHAnsi"/>
          <w:sz w:val="20"/>
          <w:lang w:val="en-GB"/>
        </w:rPr>
        <w:t xml:space="preserve"> (cf. Notice </w:t>
      </w:r>
      <w:r w:rsidR="008A1971" w:rsidRPr="00135F03">
        <w:rPr>
          <w:rFonts w:asciiTheme="minorHAnsi" w:hAnsiTheme="minorHAnsi" w:cstheme="minorHAnsi"/>
          <w:sz w:val="20"/>
          <w:lang w:val="en-GB"/>
        </w:rPr>
        <w:t>2</w:t>
      </w:r>
      <w:r w:rsidR="0082074C" w:rsidRPr="00135F03">
        <w:rPr>
          <w:rFonts w:asciiTheme="minorHAnsi" w:hAnsiTheme="minorHAnsi" w:cstheme="minorHAnsi"/>
          <w:sz w:val="20"/>
          <w:lang w:val="en-GB"/>
        </w:rPr>
        <w:t>.</w:t>
      </w:r>
      <w:r w:rsidR="008A1971" w:rsidRPr="00135F03">
        <w:rPr>
          <w:rFonts w:asciiTheme="minorHAnsi" w:hAnsiTheme="minorHAnsi" w:cstheme="minorHAnsi"/>
          <w:sz w:val="20"/>
          <w:lang w:val="en-GB"/>
        </w:rPr>
        <w:t>1</w:t>
      </w:r>
      <w:r w:rsidR="0082074C" w:rsidRPr="00135F03">
        <w:rPr>
          <w:rFonts w:asciiTheme="minorHAnsi" w:hAnsiTheme="minorHAnsi" w:cstheme="minorHAnsi"/>
          <w:sz w:val="20"/>
          <w:lang w:val="en-GB"/>
        </w:rPr>
        <w:t xml:space="preserve"> section 2 (2) item 2)</w:t>
      </w:r>
      <w:r w:rsidRPr="00135F03">
        <w:rPr>
          <w:rFonts w:asciiTheme="minorHAnsi" w:hAnsiTheme="minorHAnsi" w:cstheme="minorHAnsi"/>
          <w:sz w:val="20"/>
          <w:lang w:val="en-GB"/>
        </w:rPr>
        <w:t>. Expand</w:t>
      </w:r>
      <w:r w:rsidRPr="00A8106A">
        <w:rPr>
          <w:rFonts w:asciiTheme="minorHAnsi" w:hAnsiTheme="minorHAnsi" w:cstheme="minorHAnsi"/>
          <w:sz w:val="20"/>
          <w:lang w:val="en-GB"/>
        </w:rPr>
        <w:t xml:space="preserve"> or reduce the table if needed. </w:t>
      </w:r>
    </w:p>
    <w:p w14:paraId="7591AEAC" w14:textId="331751B3" w:rsidR="004B4C42" w:rsidRPr="00A8106A" w:rsidRDefault="004B4C42" w:rsidP="00E76051">
      <w:pPr>
        <w:pStyle w:val="test"/>
        <w:numPr>
          <w:ilvl w:val="0"/>
          <w:numId w:val="10"/>
        </w:numPr>
        <w:spacing w:after="120" w:line="240" w:lineRule="auto"/>
        <w:jc w:val="both"/>
        <w:rPr>
          <w:rFonts w:asciiTheme="minorHAnsi" w:hAnsiTheme="minorHAnsi" w:cstheme="minorHAnsi"/>
          <w:sz w:val="20"/>
          <w:lang w:val="en-GB"/>
        </w:rPr>
      </w:pPr>
      <w:r w:rsidRPr="00A8106A">
        <w:rPr>
          <w:rFonts w:asciiTheme="minorHAnsi" w:hAnsiTheme="minorHAnsi" w:cstheme="minorHAnsi"/>
          <w:sz w:val="20"/>
          <w:lang w:val="en-GB"/>
        </w:rPr>
        <w:t>CV’s for the members of the Issuer’s executive management must be</w:t>
      </w:r>
      <w:r w:rsidR="003D0B46">
        <w:rPr>
          <w:rFonts w:asciiTheme="minorHAnsi" w:hAnsiTheme="minorHAnsi" w:cstheme="minorHAnsi"/>
          <w:sz w:val="20"/>
          <w:lang w:val="en-GB"/>
        </w:rPr>
        <w:t xml:space="preserve"> provided below</w:t>
      </w:r>
      <w:r w:rsidR="00566334">
        <w:rPr>
          <w:rFonts w:asciiTheme="minorHAnsi" w:hAnsiTheme="minorHAnsi" w:cstheme="minorHAnsi"/>
          <w:sz w:val="20"/>
          <w:lang w:val="en-GB"/>
        </w:rPr>
        <w:t>. The relevant CV’s must also be</w:t>
      </w:r>
      <w:r w:rsidRPr="00A8106A">
        <w:rPr>
          <w:rFonts w:asciiTheme="minorHAnsi" w:hAnsiTheme="minorHAnsi" w:cstheme="minorHAnsi"/>
          <w:sz w:val="20"/>
          <w:lang w:val="en-GB"/>
        </w:rPr>
        <w:t xml:space="preserve"> appended to the application unless equivalent documentation is contained in the Information Document, see section 3 below.</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021"/>
        <w:gridCol w:w="1441"/>
        <w:gridCol w:w="1649"/>
        <w:gridCol w:w="1418"/>
        <w:gridCol w:w="2038"/>
      </w:tblGrid>
      <w:tr w:rsidR="004B4C42" w:rsidRPr="004B4C42" w14:paraId="47CD3C38" w14:textId="77777777" w:rsidTr="00355749">
        <w:trPr>
          <w:trHeight w:val="872"/>
        </w:trPr>
        <w:tc>
          <w:tcPr>
            <w:tcW w:w="1696" w:type="dxa"/>
            <w:shd w:val="clear" w:color="auto" w:fill="F3F3F3"/>
          </w:tcPr>
          <w:p w14:paraId="70E6F1D2" w14:textId="77777777" w:rsidR="004B4C42" w:rsidRPr="004B4C42" w:rsidRDefault="004B4C42" w:rsidP="00355749">
            <w:pPr>
              <w:rPr>
                <w:rFonts w:eastAsiaTheme="minorEastAsia" w:cstheme="minorHAnsi"/>
                <w:b/>
                <w:sz w:val="16"/>
                <w:szCs w:val="18"/>
                <w:lang w:val="en-GB"/>
              </w:rPr>
            </w:pPr>
            <w:r w:rsidRPr="004B4C42">
              <w:rPr>
                <w:rFonts w:eastAsiaTheme="minorEastAsia" w:cstheme="minorHAnsi"/>
                <w:b/>
                <w:sz w:val="16"/>
                <w:szCs w:val="18"/>
                <w:lang w:val="en-GB"/>
              </w:rPr>
              <w:t xml:space="preserve">Name </w:t>
            </w:r>
          </w:p>
        </w:tc>
        <w:tc>
          <w:tcPr>
            <w:tcW w:w="1021" w:type="dxa"/>
            <w:shd w:val="clear" w:color="auto" w:fill="F3F3F3"/>
          </w:tcPr>
          <w:p w14:paraId="66D7F082" w14:textId="77777777" w:rsidR="004B4C42" w:rsidRPr="004B4C42" w:rsidRDefault="004B4C42" w:rsidP="00355749">
            <w:pPr>
              <w:rPr>
                <w:rFonts w:eastAsiaTheme="minorEastAsia" w:cstheme="minorHAnsi"/>
                <w:b/>
                <w:sz w:val="16"/>
                <w:szCs w:val="18"/>
                <w:lang w:val="en-GB"/>
              </w:rPr>
            </w:pPr>
            <w:r w:rsidRPr="004B4C42">
              <w:rPr>
                <w:rFonts w:eastAsiaTheme="minorEastAsia" w:cstheme="minorHAnsi"/>
                <w:b/>
                <w:sz w:val="16"/>
                <w:szCs w:val="18"/>
                <w:lang w:val="en-GB"/>
              </w:rPr>
              <w:t xml:space="preserve">Position </w:t>
            </w:r>
          </w:p>
        </w:tc>
        <w:tc>
          <w:tcPr>
            <w:tcW w:w="1441" w:type="dxa"/>
            <w:shd w:val="clear" w:color="auto" w:fill="F3F3F3"/>
          </w:tcPr>
          <w:p w14:paraId="0532A8BC" w14:textId="77777777" w:rsidR="004B4C42" w:rsidRPr="004B4C42" w:rsidRDefault="004B4C42" w:rsidP="00355749">
            <w:pPr>
              <w:rPr>
                <w:rFonts w:eastAsiaTheme="minorEastAsia" w:cstheme="minorHAnsi"/>
                <w:b/>
                <w:sz w:val="16"/>
                <w:szCs w:val="18"/>
                <w:lang w:val="en-GB"/>
              </w:rPr>
            </w:pPr>
            <w:r w:rsidRPr="004B4C42">
              <w:rPr>
                <w:rFonts w:eastAsiaTheme="minorEastAsia" w:cstheme="minorHAnsi"/>
                <w:b/>
                <w:sz w:val="16"/>
                <w:szCs w:val="18"/>
                <w:lang w:val="en-GB"/>
              </w:rPr>
              <w:t>Shareholding in Issuer (%)</w:t>
            </w:r>
          </w:p>
        </w:tc>
        <w:tc>
          <w:tcPr>
            <w:tcW w:w="1649" w:type="dxa"/>
            <w:shd w:val="clear" w:color="auto" w:fill="F3F3F3"/>
          </w:tcPr>
          <w:p w14:paraId="037FF14B" w14:textId="77777777" w:rsidR="004B4C42" w:rsidRPr="004B4C42" w:rsidRDefault="004B4C42" w:rsidP="00355749">
            <w:pPr>
              <w:rPr>
                <w:rFonts w:eastAsiaTheme="minorEastAsia" w:cstheme="minorHAnsi"/>
                <w:b/>
                <w:sz w:val="16"/>
                <w:szCs w:val="18"/>
                <w:lang w:val="en-GB"/>
              </w:rPr>
            </w:pPr>
            <w:r w:rsidRPr="004B4C42">
              <w:rPr>
                <w:rFonts w:eastAsiaTheme="minorEastAsia" w:cstheme="minorHAnsi"/>
                <w:b/>
                <w:sz w:val="16"/>
                <w:szCs w:val="18"/>
                <w:lang w:val="en-GB"/>
              </w:rPr>
              <w:t>Options and/or warrants? (yes/no)</w:t>
            </w:r>
          </w:p>
        </w:tc>
        <w:tc>
          <w:tcPr>
            <w:tcW w:w="1418" w:type="dxa"/>
            <w:shd w:val="clear" w:color="auto" w:fill="F3F3F3"/>
          </w:tcPr>
          <w:p w14:paraId="5E58782D" w14:textId="77777777" w:rsidR="004B4C42" w:rsidRPr="004B4C42" w:rsidRDefault="004B4C42" w:rsidP="00355749">
            <w:pPr>
              <w:rPr>
                <w:rFonts w:eastAsiaTheme="minorEastAsia" w:cstheme="minorHAnsi"/>
                <w:b/>
                <w:sz w:val="16"/>
                <w:szCs w:val="18"/>
                <w:lang w:val="en-GB"/>
              </w:rPr>
            </w:pPr>
            <w:r w:rsidRPr="004B4C42">
              <w:rPr>
                <w:rFonts w:eastAsiaTheme="minorEastAsia" w:cstheme="minorHAnsi"/>
                <w:b/>
                <w:sz w:val="16"/>
                <w:szCs w:val="18"/>
                <w:lang w:val="en-GB"/>
              </w:rPr>
              <w:t>Also a board member? (yes/no)</w:t>
            </w:r>
          </w:p>
        </w:tc>
        <w:tc>
          <w:tcPr>
            <w:tcW w:w="2038" w:type="dxa"/>
            <w:shd w:val="clear" w:color="auto" w:fill="F3F3F3"/>
          </w:tcPr>
          <w:p w14:paraId="03073D74" w14:textId="77777777" w:rsidR="004B4C42" w:rsidRPr="004B4C42" w:rsidRDefault="004B4C42" w:rsidP="00355749">
            <w:pPr>
              <w:rPr>
                <w:rFonts w:eastAsiaTheme="minorEastAsia" w:cstheme="minorHAnsi"/>
                <w:b/>
                <w:sz w:val="16"/>
                <w:szCs w:val="18"/>
                <w:lang w:val="en-GB"/>
              </w:rPr>
            </w:pPr>
            <w:r w:rsidRPr="004B4C42">
              <w:rPr>
                <w:rFonts w:eastAsiaTheme="minorEastAsia" w:cstheme="minorHAnsi"/>
                <w:b/>
                <w:sz w:val="16"/>
                <w:szCs w:val="18"/>
                <w:lang w:val="en-GB"/>
              </w:rPr>
              <w:t>Any comments</w:t>
            </w:r>
          </w:p>
        </w:tc>
      </w:tr>
      <w:tr w:rsidR="004B4C42" w:rsidRPr="004B4C42" w14:paraId="21C5B11B" w14:textId="77777777" w:rsidTr="00355749">
        <w:trPr>
          <w:trHeight w:val="204"/>
        </w:trPr>
        <w:tc>
          <w:tcPr>
            <w:tcW w:w="1696" w:type="dxa"/>
          </w:tcPr>
          <w:p w14:paraId="278C0936" w14:textId="77777777" w:rsidR="004B4C42" w:rsidRPr="004B4C42" w:rsidRDefault="004B4C42" w:rsidP="00355749">
            <w:pPr>
              <w:rPr>
                <w:rFonts w:eastAsiaTheme="minorEastAsia" w:cstheme="minorHAnsi"/>
                <w:sz w:val="16"/>
                <w:szCs w:val="18"/>
                <w:lang w:val="en-GB"/>
              </w:rPr>
            </w:pPr>
          </w:p>
        </w:tc>
        <w:tc>
          <w:tcPr>
            <w:tcW w:w="1021" w:type="dxa"/>
          </w:tcPr>
          <w:p w14:paraId="424A376E" w14:textId="77777777" w:rsidR="004B4C42" w:rsidRPr="004B4C42" w:rsidRDefault="004B4C42" w:rsidP="00355749">
            <w:pPr>
              <w:rPr>
                <w:rFonts w:eastAsiaTheme="minorEastAsia" w:cstheme="minorHAnsi"/>
                <w:sz w:val="16"/>
                <w:szCs w:val="18"/>
                <w:lang w:val="en-GB"/>
              </w:rPr>
            </w:pPr>
          </w:p>
        </w:tc>
        <w:tc>
          <w:tcPr>
            <w:tcW w:w="1441" w:type="dxa"/>
          </w:tcPr>
          <w:p w14:paraId="343D567F" w14:textId="77777777" w:rsidR="004B4C42" w:rsidRPr="004B4C42" w:rsidRDefault="004B4C42" w:rsidP="00355749">
            <w:pPr>
              <w:rPr>
                <w:rFonts w:eastAsiaTheme="minorEastAsia" w:cstheme="minorHAnsi"/>
                <w:sz w:val="16"/>
                <w:szCs w:val="18"/>
                <w:lang w:val="en-GB"/>
              </w:rPr>
            </w:pPr>
          </w:p>
        </w:tc>
        <w:tc>
          <w:tcPr>
            <w:tcW w:w="1649" w:type="dxa"/>
          </w:tcPr>
          <w:p w14:paraId="302C1051" w14:textId="77777777" w:rsidR="004B4C42" w:rsidRPr="004B4C42" w:rsidRDefault="004B4C42" w:rsidP="00355749">
            <w:pPr>
              <w:rPr>
                <w:rFonts w:eastAsiaTheme="minorEastAsia" w:cstheme="minorHAnsi"/>
                <w:sz w:val="16"/>
                <w:szCs w:val="18"/>
                <w:lang w:val="en-GB"/>
              </w:rPr>
            </w:pPr>
          </w:p>
        </w:tc>
        <w:tc>
          <w:tcPr>
            <w:tcW w:w="1418" w:type="dxa"/>
          </w:tcPr>
          <w:p w14:paraId="257AC686" w14:textId="77777777" w:rsidR="004B4C42" w:rsidRPr="004B4C42" w:rsidRDefault="004B4C42" w:rsidP="00355749">
            <w:pPr>
              <w:rPr>
                <w:rFonts w:eastAsiaTheme="minorEastAsia" w:cstheme="minorHAnsi"/>
                <w:sz w:val="16"/>
                <w:szCs w:val="18"/>
                <w:lang w:val="en-GB"/>
              </w:rPr>
            </w:pPr>
          </w:p>
        </w:tc>
        <w:tc>
          <w:tcPr>
            <w:tcW w:w="2038" w:type="dxa"/>
          </w:tcPr>
          <w:p w14:paraId="721EC703" w14:textId="77777777" w:rsidR="004B4C42" w:rsidRPr="004B4C42" w:rsidRDefault="004B4C42" w:rsidP="00355749">
            <w:pPr>
              <w:rPr>
                <w:rFonts w:eastAsiaTheme="minorEastAsia" w:cstheme="minorHAnsi"/>
                <w:sz w:val="16"/>
                <w:szCs w:val="18"/>
                <w:lang w:val="en-GB"/>
              </w:rPr>
            </w:pPr>
          </w:p>
        </w:tc>
      </w:tr>
      <w:tr w:rsidR="004B4C42" w:rsidRPr="004B4C42" w14:paraId="32B558B6" w14:textId="77777777" w:rsidTr="00355749">
        <w:trPr>
          <w:trHeight w:val="204"/>
        </w:trPr>
        <w:tc>
          <w:tcPr>
            <w:tcW w:w="1696" w:type="dxa"/>
          </w:tcPr>
          <w:p w14:paraId="38282BC1" w14:textId="77777777" w:rsidR="004B4C42" w:rsidRPr="004B4C42" w:rsidRDefault="004B4C42" w:rsidP="00355749">
            <w:pPr>
              <w:rPr>
                <w:rFonts w:eastAsiaTheme="minorEastAsia" w:cstheme="minorHAnsi"/>
                <w:sz w:val="16"/>
                <w:szCs w:val="18"/>
                <w:lang w:val="en-GB"/>
              </w:rPr>
            </w:pPr>
          </w:p>
        </w:tc>
        <w:tc>
          <w:tcPr>
            <w:tcW w:w="1021" w:type="dxa"/>
          </w:tcPr>
          <w:p w14:paraId="782367DF" w14:textId="77777777" w:rsidR="004B4C42" w:rsidRPr="004B4C42" w:rsidRDefault="004B4C42" w:rsidP="00355749">
            <w:pPr>
              <w:rPr>
                <w:rFonts w:eastAsiaTheme="minorEastAsia" w:cstheme="minorHAnsi"/>
                <w:sz w:val="16"/>
                <w:szCs w:val="18"/>
                <w:lang w:val="en-GB"/>
              </w:rPr>
            </w:pPr>
          </w:p>
        </w:tc>
        <w:tc>
          <w:tcPr>
            <w:tcW w:w="1441" w:type="dxa"/>
          </w:tcPr>
          <w:p w14:paraId="0154D146" w14:textId="77777777" w:rsidR="004B4C42" w:rsidRPr="004B4C42" w:rsidRDefault="004B4C42" w:rsidP="00355749">
            <w:pPr>
              <w:rPr>
                <w:rFonts w:eastAsiaTheme="minorEastAsia" w:cstheme="minorHAnsi"/>
                <w:sz w:val="16"/>
                <w:szCs w:val="18"/>
                <w:lang w:val="en-GB"/>
              </w:rPr>
            </w:pPr>
          </w:p>
        </w:tc>
        <w:tc>
          <w:tcPr>
            <w:tcW w:w="1649" w:type="dxa"/>
          </w:tcPr>
          <w:p w14:paraId="2DED1644" w14:textId="77777777" w:rsidR="004B4C42" w:rsidRPr="004B4C42" w:rsidRDefault="004B4C42" w:rsidP="00355749">
            <w:pPr>
              <w:rPr>
                <w:rFonts w:eastAsiaTheme="minorEastAsia" w:cstheme="minorHAnsi"/>
                <w:sz w:val="16"/>
                <w:szCs w:val="18"/>
                <w:lang w:val="en-GB"/>
              </w:rPr>
            </w:pPr>
          </w:p>
        </w:tc>
        <w:tc>
          <w:tcPr>
            <w:tcW w:w="1418" w:type="dxa"/>
          </w:tcPr>
          <w:p w14:paraId="7B7BEC24" w14:textId="77777777" w:rsidR="004B4C42" w:rsidRPr="004B4C42" w:rsidRDefault="004B4C42" w:rsidP="00355749">
            <w:pPr>
              <w:rPr>
                <w:rFonts w:eastAsiaTheme="minorEastAsia" w:cstheme="minorHAnsi"/>
                <w:sz w:val="16"/>
                <w:szCs w:val="18"/>
                <w:lang w:val="en-GB"/>
              </w:rPr>
            </w:pPr>
          </w:p>
        </w:tc>
        <w:tc>
          <w:tcPr>
            <w:tcW w:w="2038" w:type="dxa"/>
          </w:tcPr>
          <w:p w14:paraId="5C1F2AAF" w14:textId="77777777" w:rsidR="004B4C42" w:rsidRPr="004B4C42" w:rsidRDefault="004B4C42" w:rsidP="00355749">
            <w:pPr>
              <w:rPr>
                <w:rFonts w:eastAsiaTheme="minorEastAsia" w:cstheme="minorHAnsi"/>
                <w:sz w:val="16"/>
                <w:szCs w:val="18"/>
                <w:lang w:val="en-GB"/>
              </w:rPr>
            </w:pPr>
          </w:p>
        </w:tc>
      </w:tr>
      <w:tr w:rsidR="004B4C42" w:rsidRPr="004B4C42" w14:paraId="148154F6" w14:textId="77777777" w:rsidTr="00355749">
        <w:trPr>
          <w:trHeight w:val="222"/>
        </w:trPr>
        <w:tc>
          <w:tcPr>
            <w:tcW w:w="1696" w:type="dxa"/>
          </w:tcPr>
          <w:p w14:paraId="72190F7D" w14:textId="77777777" w:rsidR="004B4C42" w:rsidRPr="004B4C42" w:rsidRDefault="004B4C42" w:rsidP="00355749">
            <w:pPr>
              <w:rPr>
                <w:rFonts w:eastAsiaTheme="minorEastAsia" w:cstheme="minorHAnsi"/>
                <w:sz w:val="16"/>
                <w:szCs w:val="18"/>
                <w:lang w:val="en-GB"/>
              </w:rPr>
            </w:pPr>
          </w:p>
        </w:tc>
        <w:tc>
          <w:tcPr>
            <w:tcW w:w="1021" w:type="dxa"/>
          </w:tcPr>
          <w:p w14:paraId="4674124A" w14:textId="77777777" w:rsidR="004B4C42" w:rsidRPr="004B4C42" w:rsidRDefault="004B4C42" w:rsidP="00355749">
            <w:pPr>
              <w:rPr>
                <w:rFonts w:eastAsiaTheme="minorEastAsia" w:cstheme="minorHAnsi"/>
                <w:sz w:val="16"/>
                <w:szCs w:val="18"/>
                <w:lang w:val="en-GB"/>
              </w:rPr>
            </w:pPr>
          </w:p>
        </w:tc>
        <w:tc>
          <w:tcPr>
            <w:tcW w:w="1441" w:type="dxa"/>
          </w:tcPr>
          <w:p w14:paraId="6DEE7FAA" w14:textId="77777777" w:rsidR="004B4C42" w:rsidRPr="004B4C42" w:rsidRDefault="004B4C42" w:rsidP="00355749">
            <w:pPr>
              <w:rPr>
                <w:rFonts w:eastAsiaTheme="minorEastAsia" w:cstheme="minorHAnsi"/>
                <w:sz w:val="16"/>
                <w:szCs w:val="18"/>
                <w:lang w:val="en-GB"/>
              </w:rPr>
            </w:pPr>
          </w:p>
        </w:tc>
        <w:tc>
          <w:tcPr>
            <w:tcW w:w="1649" w:type="dxa"/>
          </w:tcPr>
          <w:p w14:paraId="71A49457" w14:textId="77777777" w:rsidR="004B4C42" w:rsidRPr="004B4C42" w:rsidRDefault="004B4C42" w:rsidP="00355749">
            <w:pPr>
              <w:rPr>
                <w:rFonts w:eastAsiaTheme="minorEastAsia" w:cstheme="minorHAnsi"/>
                <w:sz w:val="16"/>
                <w:szCs w:val="18"/>
                <w:lang w:val="en-GB"/>
              </w:rPr>
            </w:pPr>
          </w:p>
        </w:tc>
        <w:tc>
          <w:tcPr>
            <w:tcW w:w="1418" w:type="dxa"/>
          </w:tcPr>
          <w:p w14:paraId="51DBC9E9" w14:textId="77777777" w:rsidR="004B4C42" w:rsidRPr="004B4C42" w:rsidRDefault="004B4C42" w:rsidP="00355749">
            <w:pPr>
              <w:rPr>
                <w:rFonts w:eastAsiaTheme="minorEastAsia" w:cstheme="minorHAnsi"/>
                <w:sz w:val="16"/>
                <w:szCs w:val="18"/>
                <w:lang w:val="en-GB"/>
              </w:rPr>
            </w:pPr>
          </w:p>
        </w:tc>
        <w:tc>
          <w:tcPr>
            <w:tcW w:w="2038" w:type="dxa"/>
          </w:tcPr>
          <w:p w14:paraId="77DDD6AB" w14:textId="77777777" w:rsidR="004B4C42" w:rsidRPr="004B4C42" w:rsidRDefault="004B4C42" w:rsidP="00355749">
            <w:pPr>
              <w:rPr>
                <w:rFonts w:eastAsiaTheme="minorEastAsia" w:cstheme="minorHAnsi"/>
                <w:sz w:val="16"/>
                <w:szCs w:val="18"/>
                <w:lang w:val="en-GB"/>
              </w:rPr>
            </w:pPr>
          </w:p>
        </w:tc>
      </w:tr>
      <w:tr w:rsidR="004B4C42" w:rsidRPr="004B4C42" w14:paraId="38AD7802" w14:textId="77777777" w:rsidTr="00355749">
        <w:trPr>
          <w:trHeight w:val="204"/>
        </w:trPr>
        <w:tc>
          <w:tcPr>
            <w:tcW w:w="1696" w:type="dxa"/>
          </w:tcPr>
          <w:p w14:paraId="40A51824" w14:textId="77777777" w:rsidR="004B4C42" w:rsidRPr="004B4C42" w:rsidRDefault="004B4C42" w:rsidP="00355749">
            <w:pPr>
              <w:rPr>
                <w:rFonts w:eastAsiaTheme="minorEastAsia" w:cstheme="minorHAnsi"/>
                <w:sz w:val="16"/>
                <w:szCs w:val="18"/>
                <w:lang w:val="en-GB"/>
              </w:rPr>
            </w:pPr>
          </w:p>
        </w:tc>
        <w:tc>
          <w:tcPr>
            <w:tcW w:w="1021" w:type="dxa"/>
          </w:tcPr>
          <w:p w14:paraId="189BEE74" w14:textId="77777777" w:rsidR="004B4C42" w:rsidRPr="004B4C42" w:rsidRDefault="004B4C42" w:rsidP="00355749">
            <w:pPr>
              <w:rPr>
                <w:rFonts w:eastAsiaTheme="minorEastAsia" w:cstheme="minorHAnsi"/>
                <w:sz w:val="16"/>
                <w:szCs w:val="18"/>
                <w:lang w:val="en-GB"/>
              </w:rPr>
            </w:pPr>
          </w:p>
        </w:tc>
        <w:tc>
          <w:tcPr>
            <w:tcW w:w="1441" w:type="dxa"/>
          </w:tcPr>
          <w:p w14:paraId="311795A8" w14:textId="77777777" w:rsidR="004B4C42" w:rsidRPr="004B4C42" w:rsidRDefault="004B4C42" w:rsidP="00355749">
            <w:pPr>
              <w:rPr>
                <w:rFonts w:eastAsiaTheme="minorEastAsia" w:cstheme="minorHAnsi"/>
                <w:sz w:val="16"/>
                <w:szCs w:val="18"/>
                <w:lang w:val="en-GB"/>
              </w:rPr>
            </w:pPr>
          </w:p>
        </w:tc>
        <w:tc>
          <w:tcPr>
            <w:tcW w:w="1649" w:type="dxa"/>
          </w:tcPr>
          <w:p w14:paraId="70D52CBD" w14:textId="77777777" w:rsidR="004B4C42" w:rsidRPr="004B4C42" w:rsidRDefault="004B4C42" w:rsidP="00355749">
            <w:pPr>
              <w:rPr>
                <w:rFonts w:eastAsiaTheme="minorEastAsia" w:cstheme="minorHAnsi"/>
                <w:sz w:val="16"/>
                <w:szCs w:val="18"/>
                <w:lang w:val="en-GB"/>
              </w:rPr>
            </w:pPr>
          </w:p>
        </w:tc>
        <w:tc>
          <w:tcPr>
            <w:tcW w:w="1418" w:type="dxa"/>
          </w:tcPr>
          <w:p w14:paraId="3D223F47" w14:textId="77777777" w:rsidR="004B4C42" w:rsidRPr="004B4C42" w:rsidRDefault="004B4C42" w:rsidP="00355749">
            <w:pPr>
              <w:rPr>
                <w:rFonts w:eastAsiaTheme="minorEastAsia" w:cstheme="minorHAnsi"/>
                <w:sz w:val="16"/>
                <w:szCs w:val="18"/>
                <w:lang w:val="en-GB"/>
              </w:rPr>
            </w:pPr>
          </w:p>
        </w:tc>
        <w:tc>
          <w:tcPr>
            <w:tcW w:w="2038" w:type="dxa"/>
          </w:tcPr>
          <w:p w14:paraId="65E260EE" w14:textId="77777777" w:rsidR="004B4C42" w:rsidRPr="004B4C42" w:rsidRDefault="004B4C42" w:rsidP="00355749">
            <w:pPr>
              <w:rPr>
                <w:rFonts w:eastAsiaTheme="minorEastAsia" w:cstheme="minorHAnsi"/>
                <w:sz w:val="16"/>
                <w:szCs w:val="18"/>
                <w:lang w:val="en-GB"/>
              </w:rPr>
            </w:pPr>
          </w:p>
        </w:tc>
      </w:tr>
      <w:tr w:rsidR="004B4C42" w:rsidRPr="004B4C42" w14:paraId="1E0421B4" w14:textId="77777777" w:rsidTr="00355749">
        <w:trPr>
          <w:trHeight w:val="204"/>
        </w:trPr>
        <w:tc>
          <w:tcPr>
            <w:tcW w:w="1696" w:type="dxa"/>
          </w:tcPr>
          <w:p w14:paraId="71E1ADA1" w14:textId="77777777" w:rsidR="004B4C42" w:rsidRPr="004B4C42" w:rsidRDefault="004B4C42" w:rsidP="00355749">
            <w:pPr>
              <w:rPr>
                <w:rFonts w:eastAsiaTheme="minorEastAsia" w:cstheme="minorHAnsi"/>
                <w:sz w:val="16"/>
                <w:szCs w:val="18"/>
                <w:lang w:val="en-GB"/>
              </w:rPr>
            </w:pPr>
          </w:p>
        </w:tc>
        <w:tc>
          <w:tcPr>
            <w:tcW w:w="1021" w:type="dxa"/>
          </w:tcPr>
          <w:p w14:paraId="79CEEF92" w14:textId="77777777" w:rsidR="004B4C42" w:rsidRPr="004B4C42" w:rsidRDefault="004B4C42" w:rsidP="00355749">
            <w:pPr>
              <w:rPr>
                <w:rFonts w:eastAsiaTheme="minorEastAsia" w:cstheme="minorHAnsi"/>
                <w:sz w:val="16"/>
                <w:szCs w:val="18"/>
                <w:lang w:val="en-GB"/>
              </w:rPr>
            </w:pPr>
          </w:p>
        </w:tc>
        <w:tc>
          <w:tcPr>
            <w:tcW w:w="1441" w:type="dxa"/>
          </w:tcPr>
          <w:p w14:paraId="12C9BE6F" w14:textId="77777777" w:rsidR="004B4C42" w:rsidRPr="004B4C42" w:rsidRDefault="004B4C42" w:rsidP="00355749">
            <w:pPr>
              <w:rPr>
                <w:rFonts w:eastAsiaTheme="minorEastAsia" w:cstheme="minorHAnsi"/>
                <w:sz w:val="16"/>
                <w:szCs w:val="18"/>
                <w:lang w:val="en-GB"/>
              </w:rPr>
            </w:pPr>
          </w:p>
        </w:tc>
        <w:tc>
          <w:tcPr>
            <w:tcW w:w="1649" w:type="dxa"/>
          </w:tcPr>
          <w:p w14:paraId="609B6EAE" w14:textId="77777777" w:rsidR="004B4C42" w:rsidRPr="004B4C42" w:rsidRDefault="004B4C42" w:rsidP="00355749">
            <w:pPr>
              <w:rPr>
                <w:rFonts w:eastAsiaTheme="minorEastAsia" w:cstheme="minorHAnsi"/>
                <w:sz w:val="16"/>
                <w:szCs w:val="18"/>
                <w:lang w:val="en-GB"/>
              </w:rPr>
            </w:pPr>
          </w:p>
        </w:tc>
        <w:tc>
          <w:tcPr>
            <w:tcW w:w="1418" w:type="dxa"/>
          </w:tcPr>
          <w:p w14:paraId="45F1F88E" w14:textId="77777777" w:rsidR="004B4C42" w:rsidRPr="004B4C42" w:rsidRDefault="004B4C42" w:rsidP="00355749">
            <w:pPr>
              <w:rPr>
                <w:rFonts w:eastAsiaTheme="minorEastAsia" w:cstheme="minorHAnsi"/>
                <w:sz w:val="16"/>
                <w:szCs w:val="18"/>
                <w:lang w:val="en-GB"/>
              </w:rPr>
            </w:pPr>
          </w:p>
        </w:tc>
        <w:tc>
          <w:tcPr>
            <w:tcW w:w="2038" w:type="dxa"/>
          </w:tcPr>
          <w:p w14:paraId="6ED93647" w14:textId="77777777" w:rsidR="004B4C42" w:rsidRPr="004B4C42" w:rsidRDefault="004B4C42" w:rsidP="00355749">
            <w:pPr>
              <w:rPr>
                <w:rFonts w:eastAsiaTheme="minorEastAsia" w:cstheme="minorHAnsi"/>
                <w:sz w:val="16"/>
                <w:szCs w:val="18"/>
                <w:lang w:val="en-GB"/>
              </w:rPr>
            </w:pPr>
          </w:p>
        </w:tc>
      </w:tr>
    </w:tbl>
    <w:p w14:paraId="1F8DBD0D" w14:textId="77777777" w:rsidR="004B4C42" w:rsidRPr="004B4C42" w:rsidRDefault="004B4C42" w:rsidP="004B4C42">
      <w:pPr>
        <w:spacing w:after="120"/>
        <w:rPr>
          <w:rFonts w:cstheme="minorHAnsi"/>
          <w:sz w:val="18"/>
          <w:szCs w:val="20"/>
          <w:u w:val="single"/>
          <w:lang w:val="en-GB"/>
        </w:rPr>
      </w:pPr>
    </w:p>
    <w:p w14:paraId="1B9A5A37" w14:textId="6F612DC5" w:rsidR="004B4C42" w:rsidRPr="00A8106A" w:rsidRDefault="004B4C42" w:rsidP="00E76051">
      <w:pPr>
        <w:pStyle w:val="ListParagraph"/>
        <w:numPr>
          <w:ilvl w:val="0"/>
          <w:numId w:val="11"/>
        </w:numPr>
        <w:spacing w:after="120" w:line="240" w:lineRule="auto"/>
        <w:ind w:left="714" w:hanging="357"/>
        <w:jc w:val="both"/>
        <w:rPr>
          <w:rFonts w:asciiTheme="minorHAnsi" w:hAnsiTheme="minorHAnsi" w:cstheme="minorHAnsi"/>
          <w:sz w:val="20"/>
          <w:szCs w:val="20"/>
          <w:lang w:val="en-US"/>
        </w:rPr>
      </w:pPr>
      <w:r w:rsidRPr="00A8106A">
        <w:rPr>
          <w:rFonts w:asciiTheme="minorHAnsi" w:hAnsiTheme="minorHAnsi" w:cstheme="minorHAnsi"/>
          <w:sz w:val="20"/>
          <w:szCs w:val="20"/>
          <w:lang w:val="en-GB"/>
        </w:rPr>
        <w:t>Please provide information on any matters that may cause any members of the Issuer’s executive management to be deemed unfit to participate in the management of an Issuer admitted to trading on Euronext Growth Oslo, including information on whether any members of the management have been involved in matters that have resulted in, or may result in, criminal convictions or other sanctions for breaches of Norwegian or foreign securities and accounting laws. In addition, information shall be provided on any breaches of other laws related to financial matters, as well as any involvement in bankruptcy or corporate insolvencies, which may be material to the assessment of whether such person satisfies the suitabi</w:t>
      </w:r>
      <w:r w:rsidRPr="00135F03">
        <w:rPr>
          <w:rFonts w:asciiTheme="minorHAnsi" w:hAnsiTheme="minorHAnsi" w:cstheme="minorHAnsi"/>
          <w:sz w:val="20"/>
          <w:szCs w:val="20"/>
          <w:lang w:val="en-GB"/>
        </w:rPr>
        <w:t xml:space="preserve">lity requirement pursuant to </w:t>
      </w:r>
      <w:bookmarkStart w:id="52" w:name="_Hlk54774566"/>
      <w:r w:rsidRPr="00135F03">
        <w:rPr>
          <w:rFonts w:asciiTheme="minorHAnsi" w:hAnsiTheme="minorHAnsi" w:cstheme="minorHAnsi"/>
          <w:sz w:val="20"/>
          <w:szCs w:val="20"/>
          <w:lang w:val="en-GB"/>
        </w:rPr>
        <w:t xml:space="preserve">Rule Book Part II section </w:t>
      </w:r>
      <w:r w:rsidR="008A1971" w:rsidRPr="00135F03">
        <w:rPr>
          <w:rFonts w:asciiTheme="minorHAnsi" w:hAnsiTheme="minorHAnsi" w:cstheme="minorHAnsi"/>
          <w:sz w:val="20"/>
          <w:szCs w:val="20"/>
          <w:lang w:val="en-GB"/>
        </w:rPr>
        <w:t>2</w:t>
      </w:r>
      <w:r w:rsidRPr="00135F03">
        <w:rPr>
          <w:rFonts w:asciiTheme="minorHAnsi" w:hAnsiTheme="minorHAnsi" w:cstheme="minorHAnsi"/>
          <w:sz w:val="20"/>
          <w:szCs w:val="20"/>
          <w:lang w:val="en-GB"/>
        </w:rPr>
        <w:t>.</w:t>
      </w:r>
      <w:r w:rsidR="008A1971" w:rsidRPr="00135F03">
        <w:rPr>
          <w:rFonts w:asciiTheme="minorHAnsi" w:hAnsiTheme="minorHAnsi" w:cstheme="minorHAnsi"/>
          <w:sz w:val="20"/>
          <w:szCs w:val="20"/>
          <w:lang w:val="en-GB"/>
        </w:rPr>
        <w:t>1</w:t>
      </w:r>
      <w:r w:rsidRPr="00135F03">
        <w:rPr>
          <w:rFonts w:asciiTheme="minorHAnsi" w:hAnsiTheme="minorHAnsi" w:cstheme="minorHAnsi"/>
          <w:sz w:val="20"/>
          <w:szCs w:val="20"/>
          <w:lang w:val="en-GB"/>
        </w:rPr>
        <w:t>.4.1 (1)</w:t>
      </w:r>
      <w:bookmarkEnd w:id="52"/>
      <w:r w:rsidRPr="00135F03">
        <w:rPr>
          <w:rFonts w:asciiTheme="minorHAnsi" w:hAnsiTheme="minorHAnsi" w:cstheme="minorHAnsi"/>
          <w:sz w:val="20"/>
          <w:szCs w:val="20"/>
          <w:lang w:val="en-GB"/>
        </w:rPr>
        <w:t xml:space="preserve">. </w:t>
      </w:r>
      <w:r w:rsidR="008A1971" w:rsidRPr="00135F03">
        <w:rPr>
          <w:rFonts w:asciiTheme="minorHAnsi" w:hAnsiTheme="minorHAnsi" w:cstheme="minorHAnsi"/>
          <w:sz w:val="20"/>
          <w:szCs w:val="20"/>
          <w:lang w:val="en-GB"/>
        </w:rPr>
        <w:t>(Cf. Notice 2.2 section 2 (2) item 10).</w:t>
      </w:r>
      <w:r w:rsidR="00C01A8B">
        <w:rPr>
          <w:rFonts w:asciiTheme="minorHAnsi" w:hAnsiTheme="minorHAnsi" w:cstheme="minorHAnsi"/>
          <w:sz w:val="20"/>
          <w:szCs w:val="20"/>
          <w:lang w:val="en-GB"/>
        </w:rPr>
        <w:t xml:space="preserve"> </w:t>
      </w:r>
      <w:r w:rsidR="00C01A8B" w:rsidRPr="00C01A8B">
        <w:rPr>
          <w:rFonts w:asciiTheme="minorHAnsi" w:hAnsiTheme="minorHAnsi" w:cstheme="minorHAnsi"/>
          <w:sz w:val="20"/>
          <w:szCs w:val="20"/>
          <w:lang w:val="en-GB"/>
        </w:rPr>
        <w:t xml:space="preserve">Such information shall </w:t>
      </w:r>
      <w:r w:rsidR="00C01A8B" w:rsidRPr="00522F3C">
        <w:rPr>
          <w:rFonts w:asciiTheme="minorHAnsi" w:hAnsiTheme="minorHAnsi" w:cstheme="minorHAnsi"/>
          <w:sz w:val="20"/>
          <w:szCs w:val="20"/>
          <w:u w:val="single"/>
          <w:lang w:val="en-GB"/>
        </w:rPr>
        <w:t>not</w:t>
      </w:r>
      <w:r w:rsidR="00C01A8B" w:rsidRPr="00C01A8B">
        <w:rPr>
          <w:rFonts w:asciiTheme="minorHAnsi" w:hAnsiTheme="minorHAnsi" w:cstheme="minorHAnsi"/>
          <w:sz w:val="20"/>
          <w:szCs w:val="20"/>
          <w:lang w:val="en-GB"/>
        </w:rPr>
        <w:t xml:space="preserve"> be limited to the last 5 years.</w:t>
      </w:r>
    </w:p>
    <w:p w14:paraId="0B83B631" w14:textId="229A2002" w:rsidR="004B4C42" w:rsidRPr="00A8106A" w:rsidRDefault="004B4C42" w:rsidP="00E76051">
      <w:pPr>
        <w:pStyle w:val="ListParagraph"/>
        <w:numPr>
          <w:ilvl w:val="0"/>
          <w:numId w:val="11"/>
        </w:numPr>
        <w:spacing w:after="120" w:line="240" w:lineRule="auto"/>
        <w:ind w:left="714" w:hanging="357"/>
        <w:jc w:val="both"/>
        <w:rPr>
          <w:rFonts w:asciiTheme="minorHAnsi" w:hAnsiTheme="minorHAnsi" w:cstheme="minorHAnsi"/>
          <w:sz w:val="20"/>
          <w:szCs w:val="20"/>
          <w:lang w:val="en-US"/>
        </w:rPr>
      </w:pPr>
      <w:r w:rsidRPr="00A8106A">
        <w:rPr>
          <w:rFonts w:asciiTheme="minorHAnsi" w:hAnsiTheme="minorHAnsi" w:cstheme="minorHAnsi"/>
          <w:sz w:val="20"/>
          <w:szCs w:val="20"/>
          <w:lang w:val="en-GB"/>
        </w:rPr>
        <w:t xml:space="preserve">Please </w:t>
      </w:r>
      <w:r w:rsidR="007C43E1">
        <w:rPr>
          <w:rFonts w:asciiTheme="minorHAnsi" w:hAnsiTheme="minorHAnsi" w:cstheme="minorHAnsi"/>
          <w:sz w:val="20"/>
          <w:szCs w:val="20"/>
          <w:lang w:val="en-GB"/>
        </w:rPr>
        <w:t xml:space="preserve">provide </w:t>
      </w:r>
      <w:r w:rsidRPr="00A8106A">
        <w:rPr>
          <w:rFonts w:asciiTheme="minorHAnsi" w:hAnsiTheme="minorHAnsi" w:cstheme="minorHAnsi"/>
          <w:sz w:val="20"/>
          <w:szCs w:val="20"/>
          <w:lang w:val="en-GB"/>
        </w:rPr>
        <w:t xml:space="preserve">a description of the resources and expertise the Issuer has available to comply with the information and reporting obligations, including financial reporting obligations, placed upon a company admitted to trading on Euronext Growth </w:t>
      </w:r>
      <w:r w:rsidRPr="00135F03">
        <w:rPr>
          <w:rFonts w:asciiTheme="minorHAnsi" w:hAnsiTheme="minorHAnsi" w:cstheme="minorHAnsi"/>
          <w:sz w:val="20"/>
          <w:szCs w:val="20"/>
          <w:lang w:val="en-GB"/>
        </w:rPr>
        <w:t>Oslo</w:t>
      </w:r>
      <w:r w:rsidR="000F1A5F" w:rsidRPr="00135F03">
        <w:rPr>
          <w:rFonts w:asciiTheme="minorHAnsi" w:hAnsiTheme="minorHAnsi" w:cstheme="minorHAnsi"/>
          <w:sz w:val="20"/>
          <w:szCs w:val="20"/>
          <w:lang w:val="en-GB"/>
        </w:rPr>
        <w:t xml:space="preserve"> (cf. Notice </w:t>
      </w:r>
      <w:r w:rsidR="008A1971" w:rsidRPr="00135F03">
        <w:rPr>
          <w:rFonts w:asciiTheme="minorHAnsi" w:hAnsiTheme="minorHAnsi" w:cstheme="minorHAnsi"/>
          <w:sz w:val="20"/>
          <w:szCs w:val="20"/>
          <w:lang w:val="en-GB"/>
        </w:rPr>
        <w:t>2</w:t>
      </w:r>
      <w:r w:rsidR="000F1A5F" w:rsidRPr="00135F03">
        <w:rPr>
          <w:rFonts w:asciiTheme="minorHAnsi" w:hAnsiTheme="minorHAnsi" w:cstheme="minorHAnsi"/>
          <w:sz w:val="20"/>
          <w:szCs w:val="20"/>
          <w:lang w:val="en-GB"/>
        </w:rPr>
        <w:t>.</w:t>
      </w:r>
      <w:r w:rsidR="008A1971" w:rsidRPr="00135F03">
        <w:rPr>
          <w:rFonts w:asciiTheme="minorHAnsi" w:hAnsiTheme="minorHAnsi" w:cstheme="minorHAnsi"/>
          <w:sz w:val="20"/>
          <w:szCs w:val="20"/>
          <w:lang w:val="en-GB"/>
        </w:rPr>
        <w:t>2</w:t>
      </w:r>
      <w:r w:rsidR="000F1A5F" w:rsidRPr="00135F03">
        <w:rPr>
          <w:rFonts w:asciiTheme="minorHAnsi" w:hAnsiTheme="minorHAnsi" w:cstheme="minorHAnsi"/>
          <w:sz w:val="20"/>
          <w:szCs w:val="20"/>
          <w:lang w:val="en-GB"/>
        </w:rPr>
        <w:t xml:space="preserve"> section 2 (2) item 5 and 7)</w:t>
      </w:r>
      <w:r w:rsidRPr="00135F03">
        <w:rPr>
          <w:rFonts w:asciiTheme="minorHAnsi" w:hAnsiTheme="minorHAnsi" w:cstheme="minorHAnsi"/>
          <w:sz w:val="20"/>
          <w:szCs w:val="20"/>
          <w:lang w:val="en-GB"/>
        </w:rPr>
        <w:t>.</w:t>
      </w:r>
      <w:r w:rsidRPr="00A8106A">
        <w:rPr>
          <w:rFonts w:asciiTheme="minorHAnsi" w:hAnsiTheme="minorHAnsi" w:cstheme="minorHAnsi"/>
          <w:sz w:val="20"/>
          <w:szCs w:val="20"/>
          <w:lang w:val="en-GB"/>
        </w:rPr>
        <w:t xml:space="preserve"> </w:t>
      </w:r>
    </w:p>
    <w:p w14:paraId="49720D75" w14:textId="3A848281" w:rsidR="004B4C42" w:rsidRPr="000D5B8C" w:rsidRDefault="004B4C42" w:rsidP="00E76051">
      <w:pPr>
        <w:pStyle w:val="ListParagraph"/>
        <w:numPr>
          <w:ilvl w:val="0"/>
          <w:numId w:val="11"/>
        </w:numPr>
        <w:spacing w:after="120" w:line="240" w:lineRule="auto"/>
        <w:ind w:left="714" w:hanging="357"/>
        <w:jc w:val="both"/>
        <w:rPr>
          <w:rFonts w:asciiTheme="minorHAnsi" w:hAnsiTheme="minorHAnsi" w:cstheme="minorHAnsi"/>
          <w:sz w:val="20"/>
          <w:szCs w:val="20"/>
          <w:lang w:val="en-US"/>
        </w:rPr>
      </w:pPr>
      <w:r w:rsidRPr="00A8106A">
        <w:rPr>
          <w:rFonts w:asciiTheme="minorHAnsi" w:hAnsiTheme="minorHAnsi" w:cstheme="minorHAnsi"/>
          <w:sz w:val="20"/>
          <w:szCs w:val="20"/>
          <w:lang w:val="en-GB"/>
        </w:rPr>
        <w:lastRenderedPageBreak/>
        <w:t xml:space="preserve">Please provide information on whether the Issuer has sufficient internal procedures to ensure that the Issuer’s management and the officers responsible for disclosing information to the market become aware of essential information without undue delay. </w:t>
      </w:r>
    </w:p>
    <w:p w14:paraId="31B8B032" w14:textId="422DB30A" w:rsidR="00382DBC" w:rsidRPr="000D5B8C" w:rsidRDefault="006636AB" w:rsidP="006636AB">
      <w:pPr>
        <w:pStyle w:val="Heading4"/>
        <w:rPr>
          <w:b w:val="0"/>
        </w:rPr>
      </w:pPr>
      <w:r w:rsidRPr="000D5B8C">
        <w:rPr>
          <w:b w:val="0"/>
        </w:rPr>
        <w:t>Board of directors</w:t>
      </w:r>
    </w:p>
    <w:tbl>
      <w:tblPr>
        <w:tblStyle w:val="TableGrid"/>
        <w:tblW w:w="0" w:type="auto"/>
        <w:tblLook w:val="04A0" w:firstRow="1" w:lastRow="0" w:firstColumn="1" w:lastColumn="0" w:noHBand="0" w:noVBand="1"/>
      </w:tblPr>
      <w:tblGrid>
        <w:gridCol w:w="9060"/>
      </w:tblGrid>
      <w:tr w:rsidR="006636AB" w:rsidRPr="00706E66" w14:paraId="761A4185" w14:textId="77777777" w:rsidTr="006636AB">
        <w:tc>
          <w:tcPr>
            <w:tcW w:w="9060" w:type="dxa"/>
            <w:shd w:val="clear" w:color="auto" w:fill="F2F2F2" w:themeFill="background1" w:themeFillShade="F2"/>
          </w:tcPr>
          <w:p w14:paraId="7C789413" w14:textId="0B0485A2" w:rsidR="00ED5298" w:rsidRPr="00135F03" w:rsidRDefault="006636AB" w:rsidP="00ED5298">
            <w:pPr>
              <w:spacing w:after="120"/>
              <w:rPr>
                <w:b/>
                <w:sz w:val="18"/>
                <w:szCs w:val="20"/>
                <w:lang w:val="en-GB"/>
              </w:rPr>
            </w:pPr>
            <w:r w:rsidRPr="00135F03">
              <w:rPr>
                <w:b/>
                <w:sz w:val="18"/>
                <w:szCs w:val="20"/>
                <w:lang w:val="en-GB"/>
              </w:rPr>
              <w:t xml:space="preserve">RULE BOOK PART II SECTION </w:t>
            </w:r>
            <w:r w:rsidR="008A1971" w:rsidRPr="00135F03">
              <w:rPr>
                <w:b/>
                <w:sz w:val="18"/>
                <w:szCs w:val="20"/>
                <w:lang w:val="en-GB"/>
              </w:rPr>
              <w:t>2</w:t>
            </w:r>
            <w:r w:rsidRPr="00135F03">
              <w:rPr>
                <w:b/>
                <w:sz w:val="18"/>
                <w:szCs w:val="20"/>
                <w:lang w:val="en-GB"/>
              </w:rPr>
              <w:t>.</w:t>
            </w:r>
            <w:r w:rsidR="008A1971" w:rsidRPr="00135F03">
              <w:rPr>
                <w:b/>
                <w:sz w:val="18"/>
                <w:szCs w:val="20"/>
                <w:lang w:val="en-GB"/>
              </w:rPr>
              <w:t>1</w:t>
            </w:r>
            <w:r w:rsidRPr="00135F03">
              <w:rPr>
                <w:b/>
                <w:sz w:val="18"/>
                <w:szCs w:val="20"/>
                <w:lang w:val="en-GB"/>
              </w:rPr>
              <w:t>.4.2</w:t>
            </w:r>
          </w:p>
          <w:p w14:paraId="05C82004" w14:textId="77777777" w:rsidR="006636AB" w:rsidRDefault="00ED5298" w:rsidP="00C8240D">
            <w:pPr>
              <w:pStyle w:val="ListParagraph"/>
              <w:numPr>
                <w:ilvl w:val="0"/>
                <w:numId w:val="31"/>
              </w:numPr>
              <w:spacing w:after="120" w:line="240" w:lineRule="auto"/>
              <w:rPr>
                <w:sz w:val="18"/>
                <w:lang w:val="en-GB"/>
              </w:rPr>
            </w:pPr>
            <w:r>
              <w:rPr>
                <w:sz w:val="18"/>
                <w:lang w:val="en-GB"/>
              </w:rPr>
              <w:t xml:space="preserve">The </w:t>
            </w:r>
            <w:r w:rsidRPr="00ED5298">
              <w:rPr>
                <w:sz w:val="18"/>
                <w:lang w:val="en-GB"/>
              </w:rPr>
              <w:t>Issuer shall have a board of directors comprised of individuals who have not acted in such a manner as to make them unfit to be a member of the board of an Issuer admitted to trading on Euronext Growth Oslo.</w:t>
            </w:r>
          </w:p>
          <w:p w14:paraId="4DA2B583" w14:textId="01438A65" w:rsidR="00ED5298" w:rsidRPr="00ED5298" w:rsidRDefault="00ED5298" w:rsidP="00C8240D">
            <w:pPr>
              <w:pStyle w:val="ListParagraph"/>
              <w:numPr>
                <w:ilvl w:val="0"/>
                <w:numId w:val="31"/>
              </w:numPr>
              <w:spacing w:after="120" w:line="240" w:lineRule="auto"/>
              <w:rPr>
                <w:sz w:val="18"/>
                <w:lang w:val="en-GB"/>
              </w:rPr>
            </w:pPr>
            <w:r>
              <w:rPr>
                <w:sz w:val="18"/>
                <w:lang w:val="en-GB"/>
              </w:rPr>
              <w:t xml:space="preserve">At </w:t>
            </w:r>
            <w:r w:rsidRPr="00ED5298">
              <w:rPr>
                <w:sz w:val="18"/>
                <w:lang w:val="en-GB"/>
              </w:rPr>
              <w:t>least one member of the board of directors must have satisfactory expertise in respect of the rules that apply to Issuers admitted to trading on Euronext Growth Oslo.</w:t>
            </w:r>
          </w:p>
        </w:tc>
      </w:tr>
    </w:tbl>
    <w:p w14:paraId="38B2E5FB" w14:textId="77777777" w:rsidR="006636AB" w:rsidRPr="006636AB" w:rsidRDefault="006636AB" w:rsidP="006636AB">
      <w:pPr>
        <w:rPr>
          <w:lang w:val="en-GB" w:eastAsia="nb-NO"/>
        </w:rPr>
      </w:pPr>
    </w:p>
    <w:p w14:paraId="15F1466B" w14:textId="28E0E6EA" w:rsidR="006636AB" w:rsidRDefault="006636AB" w:rsidP="00E76051">
      <w:pPr>
        <w:pStyle w:val="test"/>
        <w:numPr>
          <w:ilvl w:val="0"/>
          <w:numId w:val="12"/>
        </w:numPr>
        <w:spacing w:after="0" w:line="240" w:lineRule="auto"/>
        <w:jc w:val="both"/>
        <w:rPr>
          <w:rFonts w:asciiTheme="minorHAnsi" w:hAnsiTheme="minorHAnsi" w:cstheme="minorHAnsi"/>
          <w:sz w:val="20"/>
          <w:lang w:val="en-GB"/>
        </w:rPr>
      </w:pPr>
      <w:r w:rsidRPr="00A8106A">
        <w:rPr>
          <w:rFonts w:asciiTheme="minorHAnsi" w:hAnsiTheme="minorHAnsi" w:cstheme="minorHAnsi"/>
          <w:sz w:val="20"/>
          <w:lang w:val="en-GB"/>
        </w:rPr>
        <w:t xml:space="preserve">Please fill in the table </w:t>
      </w:r>
      <w:r w:rsidRPr="00135F03">
        <w:rPr>
          <w:rFonts w:asciiTheme="minorHAnsi" w:hAnsiTheme="minorHAnsi" w:cstheme="minorHAnsi"/>
          <w:sz w:val="20"/>
          <w:lang w:val="en-GB"/>
        </w:rPr>
        <w:t>below with details of the Issuer’s board of directors</w:t>
      </w:r>
      <w:r w:rsidR="000F1A5F" w:rsidRPr="00135F03">
        <w:rPr>
          <w:rFonts w:asciiTheme="minorHAnsi" w:hAnsiTheme="minorHAnsi" w:cstheme="minorHAnsi"/>
          <w:sz w:val="20"/>
          <w:lang w:val="en-GB"/>
        </w:rPr>
        <w:t xml:space="preserve"> (cf. Notice </w:t>
      </w:r>
      <w:r w:rsidR="008A1971" w:rsidRPr="00135F03">
        <w:rPr>
          <w:rFonts w:asciiTheme="minorHAnsi" w:hAnsiTheme="minorHAnsi" w:cstheme="minorHAnsi"/>
          <w:sz w:val="20"/>
          <w:lang w:val="en-GB"/>
        </w:rPr>
        <w:t>2</w:t>
      </w:r>
      <w:r w:rsidR="000F1A5F" w:rsidRPr="00135F03">
        <w:rPr>
          <w:rFonts w:asciiTheme="minorHAnsi" w:hAnsiTheme="minorHAnsi" w:cstheme="minorHAnsi"/>
          <w:sz w:val="20"/>
          <w:lang w:val="en-GB"/>
        </w:rPr>
        <w:t>.</w:t>
      </w:r>
      <w:r w:rsidR="008A1971" w:rsidRPr="00135F03">
        <w:rPr>
          <w:rFonts w:asciiTheme="minorHAnsi" w:hAnsiTheme="minorHAnsi" w:cstheme="minorHAnsi"/>
          <w:sz w:val="20"/>
          <w:lang w:val="en-GB"/>
        </w:rPr>
        <w:t>2</w:t>
      </w:r>
      <w:r w:rsidR="000F1A5F" w:rsidRPr="00135F03">
        <w:rPr>
          <w:rFonts w:asciiTheme="minorHAnsi" w:hAnsiTheme="minorHAnsi" w:cstheme="minorHAnsi"/>
          <w:sz w:val="20"/>
          <w:lang w:val="en-GB"/>
        </w:rPr>
        <w:t xml:space="preserve"> section 2 (2) item 2)</w:t>
      </w:r>
      <w:r w:rsidRPr="00135F03">
        <w:rPr>
          <w:rFonts w:asciiTheme="minorHAnsi" w:hAnsiTheme="minorHAnsi" w:cstheme="minorHAnsi"/>
          <w:sz w:val="20"/>
          <w:lang w:val="en-GB"/>
        </w:rPr>
        <w:t>. Expand or reduce the table</w:t>
      </w:r>
      <w:r w:rsidRPr="00A8106A">
        <w:rPr>
          <w:rFonts w:asciiTheme="minorHAnsi" w:hAnsiTheme="minorHAnsi" w:cstheme="minorHAnsi"/>
          <w:sz w:val="20"/>
          <w:lang w:val="en-GB"/>
        </w:rPr>
        <w:t xml:space="preserve"> as required.</w:t>
      </w:r>
    </w:p>
    <w:p w14:paraId="3E07A6E8" w14:textId="77777777" w:rsidR="009B3E5A" w:rsidRPr="00A8106A" w:rsidRDefault="009B3E5A" w:rsidP="00E76051">
      <w:pPr>
        <w:pStyle w:val="test"/>
        <w:spacing w:after="0" w:line="240" w:lineRule="auto"/>
        <w:ind w:left="720"/>
        <w:jc w:val="both"/>
        <w:rPr>
          <w:rFonts w:asciiTheme="minorHAnsi" w:hAnsiTheme="minorHAnsi" w:cstheme="minorHAnsi"/>
          <w:sz w:val="20"/>
          <w:lang w:val="en-GB"/>
        </w:rPr>
      </w:pPr>
    </w:p>
    <w:p w14:paraId="6427397B" w14:textId="0BDEE5ED" w:rsidR="006636AB" w:rsidRPr="00A8106A" w:rsidRDefault="006636AB" w:rsidP="00E76051">
      <w:pPr>
        <w:pStyle w:val="test"/>
        <w:numPr>
          <w:ilvl w:val="0"/>
          <w:numId w:val="12"/>
        </w:numPr>
        <w:spacing w:after="0" w:line="240" w:lineRule="auto"/>
        <w:jc w:val="both"/>
        <w:rPr>
          <w:rFonts w:asciiTheme="minorHAnsi" w:hAnsiTheme="minorHAnsi" w:cstheme="minorHAnsi"/>
          <w:sz w:val="20"/>
          <w:lang w:val="en-GB"/>
        </w:rPr>
      </w:pPr>
      <w:r w:rsidRPr="00A8106A">
        <w:rPr>
          <w:rFonts w:asciiTheme="minorHAnsi" w:hAnsiTheme="minorHAnsi" w:cstheme="minorHAnsi"/>
          <w:sz w:val="20"/>
          <w:lang w:val="en-GB"/>
        </w:rPr>
        <w:t xml:space="preserve">CV’s for members of the Issuer’s board of directors must be </w:t>
      </w:r>
      <w:r w:rsidR="00566334">
        <w:rPr>
          <w:rFonts w:asciiTheme="minorHAnsi" w:hAnsiTheme="minorHAnsi" w:cstheme="minorHAnsi"/>
          <w:sz w:val="20"/>
          <w:lang w:val="en-GB"/>
        </w:rPr>
        <w:t xml:space="preserve">provided below. The </w:t>
      </w:r>
      <w:r w:rsidR="003C401C">
        <w:rPr>
          <w:rFonts w:asciiTheme="minorHAnsi" w:hAnsiTheme="minorHAnsi" w:cstheme="minorHAnsi"/>
          <w:sz w:val="20"/>
          <w:lang w:val="en-GB"/>
        </w:rPr>
        <w:t xml:space="preserve">relevant CV’s must also be </w:t>
      </w:r>
      <w:r w:rsidRPr="00A8106A">
        <w:rPr>
          <w:rFonts w:asciiTheme="minorHAnsi" w:hAnsiTheme="minorHAnsi" w:cstheme="minorHAnsi"/>
          <w:sz w:val="20"/>
          <w:lang w:val="en-GB"/>
        </w:rPr>
        <w:t xml:space="preserve">attached to the application unless equivalent information is contained in the Information Document, see section 3 below.  </w:t>
      </w:r>
    </w:p>
    <w:p w14:paraId="4FD50FE1" w14:textId="77777777" w:rsidR="006636AB" w:rsidRPr="006636AB" w:rsidRDefault="006636AB" w:rsidP="006636AB">
      <w:pPr>
        <w:pStyle w:val="test"/>
        <w:spacing w:after="0" w:line="240" w:lineRule="auto"/>
        <w:ind w:left="720"/>
        <w:rPr>
          <w:rFonts w:asciiTheme="minorHAnsi" w:hAnsiTheme="minorHAnsi" w:cstheme="minorHAnsi"/>
          <w:sz w:val="18"/>
          <w:lang w:val="en-GB"/>
        </w:rPr>
      </w:pPr>
    </w:p>
    <w:tbl>
      <w:tblPr>
        <w:tblW w:w="92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118"/>
        <w:gridCol w:w="1287"/>
        <w:gridCol w:w="1418"/>
        <w:gridCol w:w="850"/>
        <w:gridCol w:w="992"/>
        <w:gridCol w:w="1134"/>
        <w:gridCol w:w="1134"/>
        <w:gridCol w:w="1351"/>
      </w:tblGrid>
      <w:tr w:rsidR="006636AB" w:rsidRPr="006636AB" w14:paraId="1D59A74E" w14:textId="77777777" w:rsidTr="006636AB">
        <w:trPr>
          <w:trHeight w:val="1321"/>
        </w:trPr>
        <w:tc>
          <w:tcPr>
            <w:tcW w:w="1118" w:type="dxa"/>
            <w:shd w:val="clear" w:color="auto" w:fill="F3F3F3"/>
          </w:tcPr>
          <w:p w14:paraId="3BCF0FAB" w14:textId="77777777"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Name of board member</w:t>
            </w:r>
          </w:p>
        </w:tc>
        <w:tc>
          <w:tcPr>
            <w:tcW w:w="1287" w:type="dxa"/>
            <w:shd w:val="clear" w:color="auto" w:fill="F3F3F3"/>
          </w:tcPr>
          <w:p w14:paraId="1198E04D" w14:textId="77777777"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Board position</w:t>
            </w:r>
          </w:p>
        </w:tc>
        <w:tc>
          <w:tcPr>
            <w:tcW w:w="1418" w:type="dxa"/>
            <w:shd w:val="clear" w:color="auto" w:fill="F3F3F3"/>
          </w:tcPr>
          <w:p w14:paraId="30E1A0E5" w14:textId="77777777"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 xml:space="preserve">Committees </w:t>
            </w:r>
            <w:r w:rsidRPr="006636AB">
              <w:rPr>
                <w:rFonts w:eastAsiaTheme="minorEastAsia" w:cstheme="minorHAnsi"/>
                <w:sz w:val="16"/>
                <w:szCs w:val="18"/>
                <w:lang w:val="en-US"/>
              </w:rPr>
              <w:t>(nomination, remuneration, audit committees etc.)</w:t>
            </w:r>
          </w:p>
        </w:tc>
        <w:tc>
          <w:tcPr>
            <w:tcW w:w="850" w:type="dxa"/>
            <w:shd w:val="clear" w:color="auto" w:fill="F3F3F3"/>
          </w:tcPr>
          <w:p w14:paraId="5AE65080" w14:textId="77777777"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Share-holding (%)</w:t>
            </w:r>
          </w:p>
        </w:tc>
        <w:tc>
          <w:tcPr>
            <w:tcW w:w="992" w:type="dxa"/>
            <w:shd w:val="clear" w:color="auto" w:fill="F3F3F3"/>
          </w:tcPr>
          <w:p w14:paraId="50AB1A23" w14:textId="77777777"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Options and/or warrants?</w:t>
            </w:r>
          </w:p>
          <w:p w14:paraId="4F16902C" w14:textId="77777777"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(yes/no)</w:t>
            </w:r>
          </w:p>
        </w:tc>
        <w:tc>
          <w:tcPr>
            <w:tcW w:w="1134" w:type="dxa"/>
            <w:shd w:val="clear" w:color="auto" w:fill="F3F3F3"/>
          </w:tcPr>
          <w:p w14:paraId="2FA5D18F" w14:textId="6DDAA767"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Independent of management and material business associates? (yes/no)</w:t>
            </w:r>
          </w:p>
        </w:tc>
        <w:tc>
          <w:tcPr>
            <w:tcW w:w="1134" w:type="dxa"/>
            <w:shd w:val="clear" w:color="auto" w:fill="F3F3F3"/>
          </w:tcPr>
          <w:p w14:paraId="0765322B" w14:textId="78551A05"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Independent of major share-holder? (yes/no)</w:t>
            </w:r>
          </w:p>
        </w:tc>
        <w:tc>
          <w:tcPr>
            <w:tcW w:w="1351" w:type="dxa"/>
            <w:shd w:val="clear" w:color="auto" w:fill="F3F3F3"/>
          </w:tcPr>
          <w:p w14:paraId="50425F95" w14:textId="77777777" w:rsidR="006636AB" w:rsidRPr="006636AB" w:rsidRDefault="006636AB" w:rsidP="00355749">
            <w:pPr>
              <w:rPr>
                <w:rFonts w:eastAsiaTheme="minorEastAsia" w:cstheme="minorHAnsi"/>
                <w:b/>
                <w:sz w:val="16"/>
                <w:szCs w:val="18"/>
                <w:lang w:val="en-US"/>
              </w:rPr>
            </w:pPr>
            <w:r w:rsidRPr="006636AB">
              <w:rPr>
                <w:rFonts w:eastAsiaTheme="minorEastAsia" w:cstheme="minorHAnsi"/>
                <w:b/>
                <w:sz w:val="16"/>
                <w:szCs w:val="18"/>
                <w:lang w:val="en-US"/>
              </w:rPr>
              <w:t>Any comments</w:t>
            </w:r>
          </w:p>
        </w:tc>
      </w:tr>
      <w:tr w:rsidR="006636AB" w:rsidRPr="006636AB" w14:paraId="3EE5D450" w14:textId="77777777" w:rsidTr="006636AB">
        <w:trPr>
          <w:trHeight w:val="226"/>
        </w:trPr>
        <w:tc>
          <w:tcPr>
            <w:tcW w:w="1118" w:type="dxa"/>
          </w:tcPr>
          <w:p w14:paraId="13741C74" w14:textId="77777777" w:rsidR="006636AB" w:rsidRPr="006636AB" w:rsidRDefault="006636AB" w:rsidP="00355749">
            <w:pPr>
              <w:rPr>
                <w:rFonts w:eastAsiaTheme="minorEastAsia" w:cstheme="minorHAnsi"/>
                <w:sz w:val="16"/>
                <w:szCs w:val="18"/>
                <w:lang w:val="en-GB"/>
              </w:rPr>
            </w:pPr>
          </w:p>
        </w:tc>
        <w:tc>
          <w:tcPr>
            <w:tcW w:w="1287" w:type="dxa"/>
          </w:tcPr>
          <w:p w14:paraId="68743BB2" w14:textId="77777777" w:rsidR="006636AB" w:rsidRPr="006636AB" w:rsidRDefault="006636AB" w:rsidP="00355749">
            <w:pPr>
              <w:rPr>
                <w:rFonts w:eastAsiaTheme="minorEastAsia" w:cstheme="minorHAnsi"/>
                <w:sz w:val="16"/>
                <w:szCs w:val="18"/>
                <w:lang w:val="en-GB"/>
              </w:rPr>
            </w:pPr>
            <w:r w:rsidRPr="006636AB">
              <w:rPr>
                <w:rFonts w:eastAsiaTheme="minorEastAsia" w:cstheme="minorHAnsi"/>
                <w:sz w:val="16"/>
                <w:szCs w:val="18"/>
                <w:lang w:val="en-GB"/>
              </w:rPr>
              <w:t>Chairman</w:t>
            </w:r>
          </w:p>
        </w:tc>
        <w:tc>
          <w:tcPr>
            <w:tcW w:w="1418" w:type="dxa"/>
          </w:tcPr>
          <w:p w14:paraId="4E230649" w14:textId="77777777" w:rsidR="006636AB" w:rsidRPr="006636AB" w:rsidRDefault="006636AB" w:rsidP="00355749">
            <w:pPr>
              <w:rPr>
                <w:rFonts w:eastAsiaTheme="minorEastAsia" w:cstheme="minorHAnsi"/>
                <w:sz w:val="16"/>
                <w:szCs w:val="18"/>
                <w:lang w:val="en-GB"/>
              </w:rPr>
            </w:pPr>
          </w:p>
        </w:tc>
        <w:tc>
          <w:tcPr>
            <w:tcW w:w="850" w:type="dxa"/>
          </w:tcPr>
          <w:p w14:paraId="30B50A91" w14:textId="77777777" w:rsidR="006636AB" w:rsidRPr="006636AB" w:rsidRDefault="006636AB" w:rsidP="00355749">
            <w:pPr>
              <w:rPr>
                <w:rFonts w:eastAsiaTheme="minorEastAsia" w:cstheme="minorHAnsi"/>
                <w:sz w:val="16"/>
                <w:szCs w:val="18"/>
                <w:lang w:val="en-GB"/>
              </w:rPr>
            </w:pPr>
          </w:p>
        </w:tc>
        <w:tc>
          <w:tcPr>
            <w:tcW w:w="992" w:type="dxa"/>
          </w:tcPr>
          <w:p w14:paraId="2C6333AB" w14:textId="77777777" w:rsidR="006636AB" w:rsidRPr="006636AB" w:rsidRDefault="006636AB" w:rsidP="00355749">
            <w:pPr>
              <w:rPr>
                <w:rFonts w:eastAsiaTheme="minorEastAsia" w:cstheme="minorHAnsi"/>
                <w:sz w:val="16"/>
                <w:szCs w:val="18"/>
                <w:lang w:val="en-GB"/>
              </w:rPr>
            </w:pPr>
          </w:p>
        </w:tc>
        <w:tc>
          <w:tcPr>
            <w:tcW w:w="1134" w:type="dxa"/>
          </w:tcPr>
          <w:p w14:paraId="74C1FC89" w14:textId="77777777" w:rsidR="006636AB" w:rsidRPr="006636AB" w:rsidRDefault="006636AB" w:rsidP="00355749">
            <w:pPr>
              <w:rPr>
                <w:rFonts w:eastAsiaTheme="minorEastAsia" w:cstheme="minorHAnsi"/>
                <w:sz w:val="16"/>
                <w:szCs w:val="18"/>
                <w:lang w:val="en-GB"/>
              </w:rPr>
            </w:pPr>
          </w:p>
        </w:tc>
        <w:tc>
          <w:tcPr>
            <w:tcW w:w="1134" w:type="dxa"/>
          </w:tcPr>
          <w:p w14:paraId="510216AB" w14:textId="77777777" w:rsidR="006636AB" w:rsidRPr="006636AB" w:rsidRDefault="006636AB" w:rsidP="00355749">
            <w:pPr>
              <w:rPr>
                <w:rFonts w:eastAsiaTheme="minorEastAsia" w:cstheme="minorHAnsi"/>
                <w:sz w:val="16"/>
                <w:szCs w:val="18"/>
                <w:lang w:val="en-GB"/>
              </w:rPr>
            </w:pPr>
          </w:p>
        </w:tc>
        <w:tc>
          <w:tcPr>
            <w:tcW w:w="1351" w:type="dxa"/>
          </w:tcPr>
          <w:p w14:paraId="582C848C" w14:textId="77777777" w:rsidR="006636AB" w:rsidRPr="006636AB" w:rsidRDefault="006636AB" w:rsidP="00355749">
            <w:pPr>
              <w:rPr>
                <w:rFonts w:eastAsiaTheme="minorEastAsia" w:cstheme="minorHAnsi"/>
                <w:sz w:val="16"/>
                <w:szCs w:val="18"/>
                <w:lang w:val="en-GB"/>
              </w:rPr>
            </w:pPr>
          </w:p>
        </w:tc>
      </w:tr>
      <w:tr w:rsidR="006636AB" w:rsidRPr="006636AB" w14:paraId="0A8449A4" w14:textId="77777777" w:rsidTr="006636AB">
        <w:trPr>
          <w:trHeight w:val="208"/>
        </w:trPr>
        <w:tc>
          <w:tcPr>
            <w:tcW w:w="1118" w:type="dxa"/>
          </w:tcPr>
          <w:p w14:paraId="120ED8A8" w14:textId="77777777" w:rsidR="006636AB" w:rsidRPr="006636AB" w:rsidRDefault="006636AB" w:rsidP="00355749">
            <w:pPr>
              <w:rPr>
                <w:rFonts w:eastAsiaTheme="minorEastAsia" w:cstheme="minorHAnsi"/>
                <w:sz w:val="16"/>
                <w:szCs w:val="18"/>
                <w:lang w:val="en-GB"/>
              </w:rPr>
            </w:pPr>
          </w:p>
        </w:tc>
        <w:tc>
          <w:tcPr>
            <w:tcW w:w="1287" w:type="dxa"/>
          </w:tcPr>
          <w:p w14:paraId="5E9A6578" w14:textId="77777777" w:rsidR="006636AB" w:rsidRPr="006636AB" w:rsidRDefault="006636AB" w:rsidP="00355749">
            <w:pPr>
              <w:rPr>
                <w:rFonts w:eastAsiaTheme="minorEastAsia" w:cstheme="minorHAnsi"/>
                <w:sz w:val="16"/>
                <w:szCs w:val="18"/>
                <w:lang w:val="en-GB"/>
              </w:rPr>
            </w:pPr>
            <w:r w:rsidRPr="006636AB">
              <w:rPr>
                <w:rFonts w:eastAsiaTheme="minorEastAsia" w:cstheme="minorHAnsi"/>
                <w:sz w:val="16"/>
                <w:szCs w:val="18"/>
                <w:lang w:val="en-GB"/>
              </w:rPr>
              <w:t>Board member</w:t>
            </w:r>
          </w:p>
        </w:tc>
        <w:tc>
          <w:tcPr>
            <w:tcW w:w="1418" w:type="dxa"/>
          </w:tcPr>
          <w:p w14:paraId="64338E86" w14:textId="77777777" w:rsidR="006636AB" w:rsidRPr="006636AB" w:rsidRDefault="006636AB" w:rsidP="00355749">
            <w:pPr>
              <w:rPr>
                <w:rFonts w:eastAsiaTheme="minorEastAsia" w:cstheme="minorHAnsi"/>
                <w:sz w:val="16"/>
                <w:szCs w:val="18"/>
                <w:lang w:val="en-GB"/>
              </w:rPr>
            </w:pPr>
          </w:p>
        </w:tc>
        <w:tc>
          <w:tcPr>
            <w:tcW w:w="850" w:type="dxa"/>
          </w:tcPr>
          <w:p w14:paraId="28EF9408" w14:textId="77777777" w:rsidR="006636AB" w:rsidRPr="006636AB" w:rsidRDefault="006636AB" w:rsidP="00355749">
            <w:pPr>
              <w:rPr>
                <w:rFonts w:eastAsiaTheme="minorEastAsia" w:cstheme="minorHAnsi"/>
                <w:sz w:val="16"/>
                <w:szCs w:val="18"/>
                <w:lang w:val="en-GB"/>
              </w:rPr>
            </w:pPr>
          </w:p>
        </w:tc>
        <w:tc>
          <w:tcPr>
            <w:tcW w:w="992" w:type="dxa"/>
          </w:tcPr>
          <w:p w14:paraId="0A0EB939" w14:textId="77777777" w:rsidR="006636AB" w:rsidRPr="006636AB" w:rsidRDefault="006636AB" w:rsidP="00355749">
            <w:pPr>
              <w:rPr>
                <w:rFonts w:eastAsiaTheme="minorEastAsia" w:cstheme="minorHAnsi"/>
                <w:sz w:val="16"/>
                <w:szCs w:val="18"/>
                <w:lang w:val="en-GB"/>
              </w:rPr>
            </w:pPr>
          </w:p>
        </w:tc>
        <w:tc>
          <w:tcPr>
            <w:tcW w:w="1134" w:type="dxa"/>
          </w:tcPr>
          <w:p w14:paraId="71E469AA" w14:textId="77777777" w:rsidR="006636AB" w:rsidRPr="006636AB" w:rsidRDefault="006636AB" w:rsidP="00355749">
            <w:pPr>
              <w:rPr>
                <w:rFonts w:eastAsiaTheme="minorEastAsia" w:cstheme="minorHAnsi"/>
                <w:sz w:val="16"/>
                <w:szCs w:val="18"/>
                <w:lang w:val="en-GB"/>
              </w:rPr>
            </w:pPr>
          </w:p>
        </w:tc>
        <w:tc>
          <w:tcPr>
            <w:tcW w:w="1134" w:type="dxa"/>
          </w:tcPr>
          <w:p w14:paraId="62B6942B" w14:textId="77777777" w:rsidR="006636AB" w:rsidRPr="006636AB" w:rsidRDefault="006636AB" w:rsidP="00355749">
            <w:pPr>
              <w:rPr>
                <w:rFonts w:eastAsiaTheme="minorEastAsia" w:cstheme="minorHAnsi"/>
                <w:sz w:val="16"/>
                <w:szCs w:val="18"/>
                <w:lang w:val="en-GB"/>
              </w:rPr>
            </w:pPr>
          </w:p>
        </w:tc>
        <w:tc>
          <w:tcPr>
            <w:tcW w:w="1351" w:type="dxa"/>
          </w:tcPr>
          <w:p w14:paraId="115F27BD" w14:textId="77777777" w:rsidR="006636AB" w:rsidRPr="006636AB" w:rsidRDefault="006636AB" w:rsidP="00355749">
            <w:pPr>
              <w:rPr>
                <w:rFonts w:eastAsiaTheme="minorEastAsia" w:cstheme="minorHAnsi"/>
                <w:sz w:val="16"/>
                <w:szCs w:val="18"/>
                <w:lang w:val="en-GB"/>
              </w:rPr>
            </w:pPr>
          </w:p>
        </w:tc>
      </w:tr>
      <w:tr w:rsidR="006636AB" w:rsidRPr="006636AB" w14:paraId="5D5A4A39" w14:textId="77777777" w:rsidTr="006636AB">
        <w:trPr>
          <w:trHeight w:val="226"/>
        </w:trPr>
        <w:tc>
          <w:tcPr>
            <w:tcW w:w="1118" w:type="dxa"/>
          </w:tcPr>
          <w:p w14:paraId="1009D31A" w14:textId="77777777" w:rsidR="006636AB" w:rsidRPr="006636AB" w:rsidRDefault="006636AB" w:rsidP="00355749">
            <w:pPr>
              <w:rPr>
                <w:rFonts w:eastAsiaTheme="minorEastAsia" w:cstheme="minorHAnsi"/>
                <w:sz w:val="16"/>
                <w:szCs w:val="18"/>
                <w:lang w:val="en-GB"/>
              </w:rPr>
            </w:pPr>
          </w:p>
        </w:tc>
        <w:tc>
          <w:tcPr>
            <w:tcW w:w="1287" w:type="dxa"/>
          </w:tcPr>
          <w:p w14:paraId="63F43A99" w14:textId="77777777" w:rsidR="006636AB" w:rsidRPr="006636AB" w:rsidRDefault="006636AB" w:rsidP="00355749">
            <w:pPr>
              <w:rPr>
                <w:rFonts w:eastAsiaTheme="minorEastAsia" w:cstheme="minorHAnsi"/>
                <w:sz w:val="16"/>
                <w:szCs w:val="18"/>
                <w:lang w:val="en-GB"/>
              </w:rPr>
            </w:pPr>
            <w:r w:rsidRPr="006636AB">
              <w:rPr>
                <w:rFonts w:eastAsiaTheme="minorEastAsia" w:cstheme="minorHAnsi"/>
                <w:sz w:val="16"/>
                <w:szCs w:val="18"/>
                <w:lang w:val="en-GB"/>
              </w:rPr>
              <w:t>Board member</w:t>
            </w:r>
          </w:p>
        </w:tc>
        <w:tc>
          <w:tcPr>
            <w:tcW w:w="1418" w:type="dxa"/>
          </w:tcPr>
          <w:p w14:paraId="2B78FB97" w14:textId="77777777" w:rsidR="006636AB" w:rsidRPr="006636AB" w:rsidRDefault="006636AB" w:rsidP="00355749">
            <w:pPr>
              <w:rPr>
                <w:rFonts w:eastAsiaTheme="minorEastAsia" w:cstheme="minorHAnsi"/>
                <w:sz w:val="16"/>
                <w:szCs w:val="18"/>
                <w:lang w:val="en-GB"/>
              </w:rPr>
            </w:pPr>
          </w:p>
        </w:tc>
        <w:tc>
          <w:tcPr>
            <w:tcW w:w="850" w:type="dxa"/>
          </w:tcPr>
          <w:p w14:paraId="5B589AEF" w14:textId="77777777" w:rsidR="006636AB" w:rsidRPr="006636AB" w:rsidRDefault="006636AB" w:rsidP="00355749">
            <w:pPr>
              <w:rPr>
                <w:rFonts w:eastAsiaTheme="minorEastAsia" w:cstheme="minorHAnsi"/>
                <w:sz w:val="16"/>
                <w:szCs w:val="18"/>
                <w:lang w:val="en-GB"/>
              </w:rPr>
            </w:pPr>
          </w:p>
        </w:tc>
        <w:tc>
          <w:tcPr>
            <w:tcW w:w="992" w:type="dxa"/>
          </w:tcPr>
          <w:p w14:paraId="713C9CCF" w14:textId="77777777" w:rsidR="006636AB" w:rsidRPr="006636AB" w:rsidRDefault="006636AB" w:rsidP="00355749">
            <w:pPr>
              <w:rPr>
                <w:rFonts w:eastAsiaTheme="minorEastAsia" w:cstheme="minorHAnsi"/>
                <w:sz w:val="16"/>
                <w:szCs w:val="18"/>
                <w:lang w:val="en-GB"/>
              </w:rPr>
            </w:pPr>
          </w:p>
        </w:tc>
        <w:tc>
          <w:tcPr>
            <w:tcW w:w="1134" w:type="dxa"/>
          </w:tcPr>
          <w:p w14:paraId="3D58B72C" w14:textId="77777777" w:rsidR="006636AB" w:rsidRPr="006636AB" w:rsidRDefault="006636AB" w:rsidP="00355749">
            <w:pPr>
              <w:rPr>
                <w:rFonts w:eastAsiaTheme="minorEastAsia" w:cstheme="minorHAnsi"/>
                <w:sz w:val="16"/>
                <w:szCs w:val="18"/>
                <w:lang w:val="en-GB"/>
              </w:rPr>
            </w:pPr>
          </w:p>
        </w:tc>
        <w:tc>
          <w:tcPr>
            <w:tcW w:w="1134" w:type="dxa"/>
          </w:tcPr>
          <w:p w14:paraId="0F77E423" w14:textId="77777777" w:rsidR="006636AB" w:rsidRPr="006636AB" w:rsidRDefault="006636AB" w:rsidP="00355749">
            <w:pPr>
              <w:rPr>
                <w:rFonts w:eastAsiaTheme="minorEastAsia" w:cstheme="minorHAnsi"/>
                <w:sz w:val="16"/>
                <w:szCs w:val="18"/>
                <w:lang w:val="en-GB"/>
              </w:rPr>
            </w:pPr>
          </w:p>
        </w:tc>
        <w:tc>
          <w:tcPr>
            <w:tcW w:w="1351" w:type="dxa"/>
          </w:tcPr>
          <w:p w14:paraId="0577BB54" w14:textId="77777777" w:rsidR="006636AB" w:rsidRPr="006636AB" w:rsidRDefault="006636AB" w:rsidP="00355749">
            <w:pPr>
              <w:rPr>
                <w:rFonts w:eastAsiaTheme="minorEastAsia" w:cstheme="minorHAnsi"/>
                <w:sz w:val="16"/>
                <w:szCs w:val="18"/>
                <w:lang w:val="en-GB"/>
              </w:rPr>
            </w:pPr>
          </w:p>
        </w:tc>
      </w:tr>
      <w:tr w:rsidR="006636AB" w:rsidRPr="006636AB" w14:paraId="543D1CEF" w14:textId="77777777" w:rsidTr="006636AB">
        <w:trPr>
          <w:trHeight w:val="208"/>
        </w:trPr>
        <w:tc>
          <w:tcPr>
            <w:tcW w:w="1118" w:type="dxa"/>
          </w:tcPr>
          <w:p w14:paraId="6BDE5C33" w14:textId="77777777" w:rsidR="006636AB" w:rsidRPr="006636AB" w:rsidRDefault="006636AB" w:rsidP="00355749">
            <w:pPr>
              <w:rPr>
                <w:rFonts w:eastAsiaTheme="minorEastAsia" w:cstheme="minorHAnsi"/>
                <w:sz w:val="16"/>
                <w:szCs w:val="18"/>
                <w:lang w:val="en-GB"/>
              </w:rPr>
            </w:pPr>
          </w:p>
        </w:tc>
        <w:tc>
          <w:tcPr>
            <w:tcW w:w="1287" w:type="dxa"/>
          </w:tcPr>
          <w:p w14:paraId="4C83F528" w14:textId="77777777" w:rsidR="006636AB" w:rsidRPr="006636AB" w:rsidRDefault="006636AB" w:rsidP="00355749">
            <w:pPr>
              <w:rPr>
                <w:rFonts w:eastAsiaTheme="minorEastAsia" w:cstheme="minorHAnsi"/>
                <w:sz w:val="16"/>
                <w:szCs w:val="18"/>
                <w:lang w:val="en-GB"/>
              </w:rPr>
            </w:pPr>
            <w:r w:rsidRPr="006636AB">
              <w:rPr>
                <w:rFonts w:eastAsiaTheme="minorEastAsia" w:cstheme="minorHAnsi"/>
                <w:sz w:val="16"/>
                <w:szCs w:val="18"/>
                <w:lang w:val="en-GB"/>
              </w:rPr>
              <w:t>Board member</w:t>
            </w:r>
          </w:p>
        </w:tc>
        <w:tc>
          <w:tcPr>
            <w:tcW w:w="1418" w:type="dxa"/>
          </w:tcPr>
          <w:p w14:paraId="7D60D745" w14:textId="77777777" w:rsidR="006636AB" w:rsidRPr="006636AB" w:rsidRDefault="006636AB" w:rsidP="00355749">
            <w:pPr>
              <w:rPr>
                <w:rFonts w:eastAsiaTheme="minorEastAsia" w:cstheme="minorHAnsi"/>
                <w:sz w:val="16"/>
                <w:szCs w:val="18"/>
                <w:lang w:val="en-GB"/>
              </w:rPr>
            </w:pPr>
          </w:p>
        </w:tc>
        <w:tc>
          <w:tcPr>
            <w:tcW w:w="850" w:type="dxa"/>
          </w:tcPr>
          <w:p w14:paraId="072F66CF" w14:textId="77777777" w:rsidR="006636AB" w:rsidRPr="006636AB" w:rsidRDefault="006636AB" w:rsidP="00355749">
            <w:pPr>
              <w:rPr>
                <w:rFonts w:eastAsiaTheme="minorEastAsia" w:cstheme="minorHAnsi"/>
                <w:sz w:val="16"/>
                <w:szCs w:val="18"/>
                <w:lang w:val="en-GB"/>
              </w:rPr>
            </w:pPr>
          </w:p>
        </w:tc>
        <w:tc>
          <w:tcPr>
            <w:tcW w:w="992" w:type="dxa"/>
          </w:tcPr>
          <w:p w14:paraId="4087C6AD" w14:textId="77777777" w:rsidR="006636AB" w:rsidRPr="006636AB" w:rsidRDefault="006636AB" w:rsidP="00355749">
            <w:pPr>
              <w:rPr>
                <w:rFonts w:eastAsiaTheme="minorEastAsia" w:cstheme="minorHAnsi"/>
                <w:sz w:val="16"/>
                <w:szCs w:val="18"/>
                <w:lang w:val="en-GB"/>
              </w:rPr>
            </w:pPr>
          </w:p>
        </w:tc>
        <w:tc>
          <w:tcPr>
            <w:tcW w:w="1134" w:type="dxa"/>
          </w:tcPr>
          <w:p w14:paraId="33DDAC85" w14:textId="77777777" w:rsidR="006636AB" w:rsidRPr="006636AB" w:rsidRDefault="006636AB" w:rsidP="00355749">
            <w:pPr>
              <w:rPr>
                <w:rFonts w:eastAsiaTheme="minorEastAsia" w:cstheme="minorHAnsi"/>
                <w:sz w:val="16"/>
                <w:szCs w:val="18"/>
                <w:lang w:val="en-GB"/>
              </w:rPr>
            </w:pPr>
          </w:p>
        </w:tc>
        <w:tc>
          <w:tcPr>
            <w:tcW w:w="1134" w:type="dxa"/>
          </w:tcPr>
          <w:p w14:paraId="5A3043B4" w14:textId="77777777" w:rsidR="006636AB" w:rsidRPr="006636AB" w:rsidRDefault="006636AB" w:rsidP="00355749">
            <w:pPr>
              <w:rPr>
                <w:rFonts w:eastAsiaTheme="minorEastAsia" w:cstheme="minorHAnsi"/>
                <w:sz w:val="16"/>
                <w:szCs w:val="18"/>
                <w:lang w:val="en-GB"/>
              </w:rPr>
            </w:pPr>
          </w:p>
        </w:tc>
        <w:tc>
          <w:tcPr>
            <w:tcW w:w="1351" w:type="dxa"/>
          </w:tcPr>
          <w:p w14:paraId="08A244FC" w14:textId="77777777" w:rsidR="006636AB" w:rsidRPr="006636AB" w:rsidRDefault="006636AB" w:rsidP="00355749">
            <w:pPr>
              <w:rPr>
                <w:rFonts w:eastAsiaTheme="minorEastAsia" w:cstheme="minorHAnsi"/>
                <w:sz w:val="16"/>
                <w:szCs w:val="18"/>
                <w:lang w:val="en-GB"/>
              </w:rPr>
            </w:pPr>
          </w:p>
        </w:tc>
      </w:tr>
      <w:tr w:rsidR="006636AB" w:rsidRPr="006636AB" w14:paraId="3FDFBD4E" w14:textId="77777777" w:rsidTr="006636AB">
        <w:trPr>
          <w:trHeight w:val="226"/>
        </w:trPr>
        <w:tc>
          <w:tcPr>
            <w:tcW w:w="1118" w:type="dxa"/>
          </w:tcPr>
          <w:p w14:paraId="478BEF2A" w14:textId="77777777" w:rsidR="006636AB" w:rsidRPr="006636AB" w:rsidRDefault="006636AB" w:rsidP="00355749">
            <w:pPr>
              <w:rPr>
                <w:rFonts w:eastAsiaTheme="minorEastAsia" w:cstheme="minorHAnsi"/>
                <w:sz w:val="16"/>
                <w:szCs w:val="18"/>
                <w:lang w:val="en-GB"/>
              </w:rPr>
            </w:pPr>
          </w:p>
        </w:tc>
        <w:tc>
          <w:tcPr>
            <w:tcW w:w="1287" w:type="dxa"/>
          </w:tcPr>
          <w:p w14:paraId="5E62FF23" w14:textId="77777777" w:rsidR="006636AB" w:rsidRPr="006636AB" w:rsidRDefault="006636AB" w:rsidP="00355749">
            <w:pPr>
              <w:rPr>
                <w:rFonts w:eastAsiaTheme="minorEastAsia" w:cstheme="minorHAnsi"/>
                <w:sz w:val="16"/>
                <w:szCs w:val="18"/>
                <w:lang w:val="en-GB"/>
              </w:rPr>
            </w:pPr>
            <w:r w:rsidRPr="006636AB">
              <w:rPr>
                <w:rFonts w:eastAsiaTheme="minorEastAsia" w:cstheme="minorHAnsi"/>
                <w:sz w:val="16"/>
                <w:szCs w:val="18"/>
                <w:lang w:val="en-GB"/>
              </w:rPr>
              <w:t>Board member</w:t>
            </w:r>
          </w:p>
        </w:tc>
        <w:tc>
          <w:tcPr>
            <w:tcW w:w="1418" w:type="dxa"/>
          </w:tcPr>
          <w:p w14:paraId="16E2DC9A" w14:textId="77777777" w:rsidR="006636AB" w:rsidRPr="006636AB" w:rsidRDefault="006636AB" w:rsidP="00355749">
            <w:pPr>
              <w:rPr>
                <w:rFonts w:eastAsiaTheme="minorEastAsia" w:cstheme="minorHAnsi"/>
                <w:sz w:val="16"/>
                <w:szCs w:val="18"/>
                <w:lang w:val="en-GB"/>
              </w:rPr>
            </w:pPr>
          </w:p>
        </w:tc>
        <w:tc>
          <w:tcPr>
            <w:tcW w:w="850" w:type="dxa"/>
          </w:tcPr>
          <w:p w14:paraId="1835AF3A" w14:textId="77777777" w:rsidR="006636AB" w:rsidRPr="006636AB" w:rsidRDefault="006636AB" w:rsidP="00355749">
            <w:pPr>
              <w:rPr>
                <w:rFonts w:eastAsiaTheme="minorEastAsia" w:cstheme="minorHAnsi"/>
                <w:sz w:val="16"/>
                <w:szCs w:val="18"/>
                <w:lang w:val="en-GB"/>
              </w:rPr>
            </w:pPr>
          </w:p>
        </w:tc>
        <w:tc>
          <w:tcPr>
            <w:tcW w:w="992" w:type="dxa"/>
          </w:tcPr>
          <w:p w14:paraId="5E900F26" w14:textId="77777777" w:rsidR="006636AB" w:rsidRPr="006636AB" w:rsidRDefault="006636AB" w:rsidP="00355749">
            <w:pPr>
              <w:rPr>
                <w:rFonts w:eastAsiaTheme="minorEastAsia" w:cstheme="minorHAnsi"/>
                <w:sz w:val="16"/>
                <w:szCs w:val="18"/>
                <w:lang w:val="en-GB"/>
              </w:rPr>
            </w:pPr>
          </w:p>
        </w:tc>
        <w:tc>
          <w:tcPr>
            <w:tcW w:w="1134" w:type="dxa"/>
          </w:tcPr>
          <w:p w14:paraId="57A1FECB" w14:textId="77777777" w:rsidR="006636AB" w:rsidRPr="006636AB" w:rsidRDefault="006636AB" w:rsidP="00355749">
            <w:pPr>
              <w:rPr>
                <w:rFonts w:eastAsiaTheme="minorEastAsia" w:cstheme="minorHAnsi"/>
                <w:sz w:val="16"/>
                <w:szCs w:val="18"/>
                <w:lang w:val="en-GB"/>
              </w:rPr>
            </w:pPr>
          </w:p>
        </w:tc>
        <w:tc>
          <w:tcPr>
            <w:tcW w:w="1134" w:type="dxa"/>
          </w:tcPr>
          <w:p w14:paraId="7CB8915A" w14:textId="77777777" w:rsidR="006636AB" w:rsidRPr="006636AB" w:rsidRDefault="006636AB" w:rsidP="00355749">
            <w:pPr>
              <w:rPr>
                <w:rFonts w:eastAsiaTheme="minorEastAsia" w:cstheme="minorHAnsi"/>
                <w:sz w:val="16"/>
                <w:szCs w:val="18"/>
                <w:lang w:val="en-GB"/>
              </w:rPr>
            </w:pPr>
          </w:p>
        </w:tc>
        <w:tc>
          <w:tcPr>
            <w:tcW w:w="1351" w:type="dxa"/>
          </w:tcPr>
          <w:p w14:paraId="4FAD2135" w14:textId="77777777" w:rsidR="006636AB" w:rsidRPr="006636AB" w:rsidRDefault="006636AB" w:rsidP="00355749">
            <w:pPr>
              <w:rPr>
                <w:rFonts w:eastAsiaTheme="minorEastAsia" w:cstheme="minorHAnsi"/>
                <w:sz w:val="16"/>
                <w:szCs w:val="18"/>
                <w:lang w:val="en-GB"/>
              </w:rPr>
            </w:pPr>
          </w:p>
        </w:tc>
      </w:tr>
      <w:tr w:rsidR="006636AB" w:rsidRPr="006636AB" w14:paraId="149643F0" w14:textId="77777777" w:rsidTr="006636AB">
        <w:trPr>
          <w:trHeight w:val="585"/>
        </w:trPr>
        <w:tc>
          <w:tcPr>
            <w:tcW w:w="1118" w:type="dxa"/>
          </w:tcPr>
          <w:p w14:paraId="056E2504" w14:textId="77777777" w:rsidR="006636AB" w:rsidRPr="006636AB" w:rsidRDefault="006636AB" w:rsidP="00355749">
            <w:pPr>
              <w:rPr>
                <w:rFonts w:eastAsiaTheme="minorEastAsia" w:cstheme="minorHAnsi"/>
                <w:sz w:val="16"/>
                <w:szCs w:val="18"/>
                <w:lang w:val="en-GB"/>
              </w:rPr>
            </w:pPr>
          </w:p>
        </w:tc>
        <w:tc>
          <w:tcPr>
            <w:tcW w:w="1287" w:type="dxa"/>
          </w:tcPr>
          <w:p w14:paraId="6D8ECF76" w14:textId="77777777" w:rsidR="006636AB" w:rsidRPr="006636AB" w:rsidRDefault="006636AB" w:rsidP="00355749">
            <w:pPr>
              <w:rPr>
                <w:rFonts w:eastAsiaTheme="minorEastAsia" w:cstheme="minorHAnsi"/>
                <w:sz w:val="16"/>
                <w:szCs w:val="18"/>
                <w:lang w:val="en-GB"/>
              </w:rPr>
            </w:pPr>
            <w:r w:rsidRPr="006636AB">
              <w:rPr>
                <w:rFonts w:eastAsiaTheme="minorEastAsia" w:cstheme="minorHAnsi"/>
                <w:sz w:val="16"/>
                <w:szCs w:val="18"/>
                <w:lang w:val="en-GB"/>
              </w:rPr>
              <w:t>Board member – employee representative</w:t>
            </w:r>
          </w:p>
        </w:tc>
        <w:tc>
          <w:tcPr>
            <w:tcW w:w="1418" w:type="dxa"/>
          </w:tcPr>
          <w:p w14:paraId="1AB9C6E0" w14:textId="77777777" w:rsidR="006636AB" w:rsidRPr="006636AB" w:rsidRDefault="006636AB" w:rsidP="00355749">
            <w:pPr>
              <w:rPr>
                <w:rFonts w:eastAsiaTheme="minorEastAsia" w:cstheme="minorHAnsi"/>
                <w:sz w:val="16"/>
                <w:szCs w:val="18"/>
                <w:lang w:val="en-GB"/>
              </w:rPr>
            </w:pPr>
          </w:p>
        </w:tc>
        <w:tc>
          <w:tcPr>
            <w:tcW w:w="850" w:type="dxa"/>
          </w:tcPr>
          <w:p w14:paraId="640F2D28" w14:textId="77777777" w:rsidR="006636AB" w:rsidRPr="006636AB" w:rsidRDefault="006636AB" w:rsidP="00355749">
            <w:pPr>
              <w:rPr>
                <w:rFonts w:eastAsiaTheme="minorEastAsia" w:cstheme="minorHAnsi"/>
                <w:sz w:val="16"/>
                <w:szCs w:val="18"/>
                <w:lang w:val="en-GB"/>
              </w:rPr>
            </w:pPr>
          </w:p>
        </w:tc>
        <w:tc>
          <w:tcPr>
            <w:tcW w:w="992" w:type="dxa"/>
          </w:tcPr>
          <w:p w14:paraId="354430B2" w14:textId="77777777" w:rsidR="006636AB" w:rsidRPr="006636AB" w:rsidRDefault="006636AB" w:rsidP="00355749">
            <w:pPr>
              <w:rPr>
                <w:rFonts w:eastAsiaTheme="minorEastAsia" w:cstheme="minorHAnsi"/>
                <w:sz w:val="16"/>
                <w:szCs w:val="18"/>
                <w:lang w:val="en-GB"/>
              </w:rPr>
            </w:pPr>
          </w:p>
        </w:tc>
        <w:tc>
          <w:tcPr>
            <w:tcW w:w="1134" w:type="dxa"/>
          </w:tcPr>
          <w:p w14:paraId="140CFC5A" w14:textId="77777777" w:rsidR="006636AB" w:rsidRPr="006636AB" w:rsidRDefault="006636AB" w:rsidP="00355749">
            <w:pPr>
              <w:rPr>
                <w:rFonts w:eastAsiaTheme="minorEastAsia" w:cstheme="minorHAnsi"/>
                <w:sz w:val="16"/>
                <w:szCs w:val="18"/>
                <w:lang w:val="en-GB"/>
              </w:rPr>
            </w:pPr>
          </w:p>
        </w:tc>
        <w:tc>
          <w:tcPr>
            <w:tcW w:w="1134" w:type="dxa"/>
          </w:tcPr>
          <w:p w14:paraId="5139BA72" w14:textId="77777777" w:rsidR="006636AB" w:rsidRPr="006636AB" w:rsidRDefault="006636AB" w:rsidP="00355749">
            <w:pPr>
              <w:rPr>
                <w:rFonts w:eastAsiaTheme="minorEastAsia" w:cstheme="minorHAnsi"/>
                <w:sz w:val="16"/>
                <w:szCs w:val="18"/>
                <w:lang w:val="en-GB"/>
              </w:rPr>
            </w:pPr>
          </w:p>
        </w:tc>
        <w:tc>
          <w:tcPr>
            <w:tcW w:w="1351" w:type="dxa"/>
          </w:tcPr>
          <w:p w14:paraId="2EB298A2" w14:textId="77777777" w:rsidR="006636AB" w:rsidRPr="006636AB" w:rsidRDefault="006636AB" w:rsidP="00355749">
            <w:pPr>
              <w:rPr>
                <w:rFonts w:eastAsiaTheme="minorEastAsia" w:cstheme="minorHAnsi"/>
                <w:sz w:val="16"/>
                <w:szCs w:val="18"/>
                <w:lang w:val="en-GB"/>
              </w:rPr>
            </w:pPr>
          </w:p>
        </w:tc>
      </w:tr>
      <w:tr w:rsidR="006636AB" w:rsidRPr="006636AB" w14:paraId="70B77B69" w14:textId="77777777" w:rsidTr="006636AB">
        <w:trPr>
          <w:trHeight w:val="792"/>
        </w:trPr>
        <w:tc>
          <w:tcPr>
            <w:tcW w:w="1118" w:type="dxa"/>
          </w:tcPr>
          <w:p w14:paraId="63B913CB" w14:textId="77777777" w:rsidR="006636AB" w:rsidRPr="006636AB" w:rsidRDefault="006636AB" w:rsidP="00355749">
            <w:pPr>
              <w:rPr>
                <w:rFonts w:eastAsiaTheme="minorEastAsia" w:cstheme="minorHAnsi"/>
                <w:sz w:val="16"/>
                <w:szCs w:val="18"/>
                <w:lang w:val="en-GB"/>
              </w:rPr>
            </w:pPr>
          </w:p>
        </w:tc>
        <w:tc>
          <w:tcPr>
            <w:tcW w:w="1287" w:type="dxa"/>
          </w:tcPr>
          <w:p w14:paraId="4E394922" w14:textId="77777777" w:rsidR="006636AB" w:rsidRPr="006636AB" w:rsidRDefault="006636AB" w:rsidP="00355749">
            <w:pPr>
              <w:rPr>
                <w:rFonts w:eastAsiaTheme="minorEastAsia" w:cstheme="minorHAnsi"/>
                <w:sz w:val="16"/>
                <w:szCs w:val="18"/>
                <w:lang w:val="en-GB"/>
              </w:rPr>
            </w:pPr>
            <w:r w:rsidRPr="006636AB">
              <w:rPr>
                <w:rFonts w:eastAsiaTheme="minorEastAsia" w:cstheme="minorHAnsi"/>
                <w:sz w:val="16"/>
                <w:szCs w:val="18"/>
                <w:lang w:val="en-GB"/>
              </w:rPr>
              <w:t>Board member</w:t>
            </w:r>
            <w:r w:rsidRPr="006636AB" w:rsidDel="00A65D66">
              <w:rPr>
                <w:rFonts w:eastAsiaTheme="minorEastAsia" w:cstheme="minorHAnsi"/>
                <w:sz w:val="16"/>
                <w:szCs w:val="18"/>
                <w:lang w:val="en-GB"/>
              </w:rPr>
              <w:t xml:space="preserve"> </w:t>
            </w:r>
            <w:r w:rsidRPr="006636AB">
              <w:rPr>
                <w:rFonts w:eastAsiaTheme="minorEastAsia" w:cstheme="minorHAnsi"/>
                <w:sz w:val="16"/>
                <w:szCs w:val="18"/>
                <w:lang w:val="en-GB"/>
              </w:rPr>
              <w:t>– employee representative</w:t>
            </w:r>
          </w:p>
        </w:tc>
        <w:tc>
          <w:tcPr>
            <w:tcW w:w="1418" w:type="dxa"/>
          </w:tcPr>
          <w:p w14:paraId="06B776E5" w14:textId="77777777" w:rsidR="006636AB" w:rsidRPr="006636AB" w:rsidRDefault="006636AB" w:rsidP="00355749">
            <w:pPr>
              <w:rPr>
                <w:rFonts w:eastAsiaTheme="minorEastAsia" w:cstheme="minorHAnsi"/>
                <w:sz w:val="16"/>
                <w:szCs w:val="18"/>
                <w:lang w:val="en-GB"/>
              </w:rPr>
            </w:pPr>
          </w:p>
        </w:tc>
        <w:tc>
          <w:tcPr>
            <w:tcW w:w="850" w:type="dxa"/>
          </w:tcPr>
          <w:p w14:paraId="4758E4FD" w14:textId="77777777" w:rsidR="006636AB" w:rsidRPr="006636AB" w:rsidRDefault="006636AB" w:rsidP="00355749">
            <w:pPr>
              <w:rPr>
                <w:rFonts w:eastAsiaTheme="minorEastAsia" w:cstheme="minorHAnsi"/>
                <w:sz w:val="16"/>
                <w:szCs w:val="18"/>
                <w:lang w:val="en-GB"/>
              </w:rPr>
            </w:pPr>
          </w:p>
        </w:tc>
        <w:tc>
          <w:tcPr>
            <w:tcW w:w="992" w:type="dxa"/>
          </w:tcPr>
          <w:p w14:paraId="3855A7C9" w14:textId="77777777" w:rsidR="006636AB" w:rsidRPr="006636AB" w:rsidRDefault="006636AB" w:rsidP="00355749">
            <w:pPr>
              <w:rPr>
                <w:rFonts w:eastAsiaTheme="minorEastAsia" w:cstheme="minorHAnsi"/>
                <w:sz w:val="16"/>
                <w:szCs w:val="18"/>
                <w:lang w:val="en-GB"/>
              </w:rPr>
            </w:pPr>
          </w:p>
        </w:tc>
        <w:tc>
          <w:tcPr>
            <w:tcW w:w="1134" w:type="dxa"/>
          </w:tcPr>
          <w:p w14:paraId="491296BF" w14:textId="77777777" w:rsidR="006636AB" w:rsidRPr="006636AB" w:rsidRDefault="006636AB" w:rsidP="00355749">
            <w:pPr>
              <w:rPr>
                <w:rFonts w:eastAsiaTheme="minorEastAsia" w:cstheme="minorHAnsi"/>
                <w:sz w:val="16"/>
                <w:szCs w:val="18"/>
                <w:lang w:val="en-GB"/>
              </w:rPr>
            </w:pPr>
          </w:p>
        </w:tc>
        <w:tc>
          <w:tcPr>
            <w:tcW w:w="1134" w:type="dxa"/>
          </w:tcPr>
          <w:p w14:paraId="692DF739" w14:textId="77777777" w:rsidR="006636AB" w:rsidRPr="006636AB" w:rsidRDefault="006636AB" w:rsidP="00355749">
            <w:pPr>
              <w:rPr>
                <w:rFonts w:eastAsiaTheme="minorEastAsia" w:cstheme="minorHAnsi"/>
                <w:sz w:val="16"/>
                <w:szCs w:val="18"/>
                <w:lang w:val="en-GB"/>
              </w:rPr>
            </w:pPr>
          </w:p>
        </w:tc>
        <w:tc>
          <w:tcPr>
            <w:tcW w:w="1351" w:type="dxa"/>
          </w:tcPr>
          <w:p w14:paraId="23723DBF" w14:textId="77777777" w:rsidR="006636AB" w:rsidRPr="006636AB" w:rsidRDefault="006636AB" w:rsidP="00355749">
            <w:pPr>
              <w:rPr>
                <w:rFonts w:eastAsiaTheme="minorEastAsia" w:cstheme="minorHAnsi"/>
                <w:sz w:val="16"/>
                <w:szCs w:val="18"/>
                <w:lang w:val="en-GB"/>
              </w:rPr>
            </w:pPr>
          </w:p>
        </w:tc>
      </w:tr>
    </w:tbl>
    <w:p w14:paraId="4A065FBC" w14:textId="77777777" w:rsidR="006636AB" w:rsidRPr="006636AB" w:rsidRDefault="006636AB" w:rsidP="006636AB">
      <w:pPr>
        <w:rPr>
          <w:sz w:val="18"/>
          <w:szCs w:val="20"/>
          <w:lang w:val="en-US"/>
        </w:rPr>
      </w:pPr>
    </w:p>
    <w:p w14:paraId="71937B0C" w14:textId="20A621BC" w:rsidR="006636AB" w:rsidRPr="00A8106A" w:rsidRDefault="006636AB" w:rsidP="00E76051">
      <w:pPr>
        <w:pStyle w:val="test"/>
        <w:numPr>
          <w:ilvl w:val="0"/>
          <w:numId w:val="10"/>
        </w:numPr>
        <w:spacing w:after="120" w:line="240" w:lineRule="auto"/>
        <w:jc w:val="both"/>
        <w:rPr>
          <w:rFonts w:asciiTheme="minorHAnsi" w:hAnsiTheme="minorHAnsi" w:cstheme="minorHAnsi"/>
          <w:sz w:val="20"/>
          <w:lang w:val="en-GB"/>
        </w:rPr>
      </w:pPr>
      <w:r w:rsidRPr="00A8106A">
        <w:rPr>
          <w:rFonts w:asciiTheme="minorHAnsi" w:hAnsiTheme="minorHAnsi" w:cstheme="minorHAnsi"/>
          <w:sz w:val="20"/>
          <w:lang w:val="en-GB"/>
        </w:rPr>
        <w:t xml:space="preserve">Please provide a brief account of the composition of the board of directors and any relationship between individual members of the board and the Issuer’s executive management, major business connections or larger shareholders that may be of significance for evaluating admission to trading. Please also provide a brief account of the board’s expertise in respect of the rules that apply to Issuers with shares admitted to </w:t>
      </w:r>
      <w:r w:rsidRPr="00135F03">
        <w:rPr>
          <w:rFonts w:asciiTheme="minorHAnsi" w:hAnsiTheme="minorHAnsi" w:cstheme="minorHAnsi"/>
          <w:sz w:val="20"/>
          <w:lang w:val="en-GB"/>
        </w:rPr>
        <w:t>trading on Euronext Growth Oslo. (</w:t>
      </w:r>
      <w:r w:rsidR="003C401C">
        <w:rPr>
          <w:rFonts w:asciiTheme="minorHAnsi" w:hAnsiTheme="minorHAnsi" w:cstheme="minorHAnsi"/>
          <w:sz w:val="20"/>
          <w:lang w:val="en-GB"/>
        </w:rPr>
        <w:t>c</w:t>
      </w:r>
      <w:r w:rsidRPr="00135F03">
        <w:rPr>
          <w:rFonts w:asciiTheme="minorHAnsi" w:hAnsiTheme="minorHAnsi" w:cstheme="minorHAnsi"/>
          <w:sz w:val="20"/>
          <w:lang w:val="en-GB"/>
        </w:rPr>
        <w:t xml:space="preserve">f. Rule Book Part II section </w:t>
      </w:r>
      <w:r w:rsidR="008A1971"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8A1971" w:rsidRPr="00135F03">
        <w:rPr>
          <w:rFonts w:asciiTheme="minorHAnsi" w:hAnsiTheme="minorHAnsi" w:cstheme="minorHAnsi"/>
          <w:sz w:val="20"/>
          <w:lang w:val="en-GB"/>
        </w:rPr>
        <w:t>1</w:t>
      </w:r>
      <w:r w:rsidRPr="00135F03">
        <w:rPr>
          <w:rFonts w:asciiTheme="minorHAnsi" w:hAnsiTheme="minorHAnsi" w:cstheme="minorHAnsi"/>
          <w:sz w:val="20"/>
          <w:lang w:val="en-GB"/>
        </w:rPr>
        <w:t xml:space="preserve">.4.2 (2) and Notice </w:t>
      </w:r>
      <w:r w:rsidR="008A1971"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8A1971" w:rsidRPr="00135F03">
        <w:rPr>
          <w:rFonts w:asciiTheme="minorHAnsi" w:hAnsiTheme="minorHAnsi" w:cstheme="minorHAnsi"/>
          <w:sz w:val="20"/>
          <w:lang w:val="en-GB"/>
        </w:rPr>
        <w:t>2</w:t>
      </w:r>
      <w:r w:rsidRPr="00135F03">
        <w:rPr>
          <w:rFonts w:asciiTheme="minorHAnsi" w:hAnsiTheme="minorHAnsi" w:cstheme="minorHAnsi"/>
          <w:sz w:val="20"/>
          <w:lang w:val="en-GB"/>
        </w:rPr>
        <w:t xml:space="preserve"> section 2 (2) item 9).</w:t>
      </w:r>
    </w:p>
    <w:p w14:paraId="154C38DF" w14:textId="1F7CF7BF" w:rsidR="00B577B5" w:rsidRPr="000D5B8C" w:rsidRDefault="006636AB" w:rsidP="00E76051">
      <w:pPr>
        <w:pStyle w:val="test"/>
        <w:numPr>
          <w:ilvl w:val="0"/>
          <w:numId w:val="10"/>
        </w:numPr>
        <w:spacing w:after="120" w:line="240" w:lineRule="auto"/>
        <w:jc w:val="both"/>
        <w:rPr>
          <w:rFonts w:asciiTheme="minorHAnsi" w:hAnsiTheme="minorHAnsi" w:cstheme="minorHAnsi"/>
          <w:sz w:val="20"/>
          <w:lang w:val="en-GB"/>
        </w:rPr>
      </w:pPr>
      <w:r w:rsidRPr="00A8106A">
        <w:rPr>
          <w:rFonts w:asciiTheme="minorHAnsi" w:hAnsiTheme="minorHAnsi" w:cstheme="minorHAnsi"/>
          <w:sz w:val="20"/>
          <w:lang w:val="en-GB"/>
        </w:rPr>
        <w:t xml:space="preserve">Please provide information on any matters that may cause any members of the Issuer’s board of directors to be deemed unfit to be a member of the board of directors of an Issuer admitted to trading on Euronext Growth Oslo, including information on whether any members of the board have been involved in matters that have resulted in, or may result in, criminal convictions or other sanctions for breaches of Norwegian or foreign securities and accounting laws. In addition, information shall be provided on any breaches of other laws related to financial matters, as well as any involvement in bankruptcy or corporate insolvencies, which may be material to the assessment of whether such person satisfies the suitability </w:t>
      </w:r>
      <w:r w:rsidRPr="00135F03">
        <w:rPr>
          <w:rFonts w:asciiTheme="minorHAnsi" w:hAnsiTheme="minorHAnsi" w:cstheme="minorHAnsi"/>
          <w:sz w:val="20"/>
          <w:lang w:val="en-GB"/>
        </w:rPr>
        <w:t xml:space="preserve">requirement pursuant to Rule Book Part II section </w:t>
      </w:r>
      <w:r w:rsidR="008A1971"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8A1971" w:rsidRPr="00135F03">
        <w:rPr>
          <w:rFonts w:asciiTheme="minorHAnsi" w:hAnsiTheme="minorHAnsi" w:cstheme="minorHAnsi"/>
          <w:sz w:val="20"/>
          <w:lang w:val="en-GB"/>
        </w:rPr>
        <w:t>1</w:t>
      </w:r>
      <w:r w:rsidRPr="00135F03">
        <w:rPr>
          <w:rFonts w:asciiTheme="minorHAnsi" w:hAnsiTheme="minorHAnsi" w:cstheme="minorHAnsi"/>
          <w:sz w:val="20"/>
          <w:lang w:val="en-GB"/>
        </w:rPr>
        <w:t>.4.2 (1)</w:t>
      </w:r>
      <w:r w:rsidR="000F1A5F" w:rsidRPr="00135F03">
        <w:rPr>
          <w:rFonts w:asciiTheme="minorHAnsi" w:hAnsiTheme="minorHAnsi" w:cstheme="minorHAnsi"/>
          <w:sz w:val="20"/>
          <w:lang w:val="en-GB"/>
        </w:rPr>
        <w:t xml:space="preserve"> </w:t>
      </w:r>
      <w:r w:rsidR="003C401C">
        <w:rPr>
          <w:rFonts w:asciiTheme="minorHAnsi" w:hAnsiTheme="minorHAnsi" w:cstheme="minorHAnsi"/>
          <w:sz w:val="20"/>
          <w:lang w:val="en-GB"/>
        </w:rPr>
        <w:t>and</w:t>
      </w:r>
      <w:r w:rsidR="000F1A5F" w:rsidRPr="00135F03">
        <w:rPr>
          <w:rFonts w:asciiTheme="minorHAnsi" w:hAnsiTheme="minorHAnsi" w:cstheme="minorHAnsi"/>
          <w:sz w:val="20"/>
          <w:lang w:val="en-GB"/>
        </w:rPr>
        <w:t xml:space="preserve"> Notice </w:t>
      </w:r>
      <w:r w:rsidR="008A1971" w:rsidRPr="00135F03">
        <w:rPr>
          <w:rFonts w:asciiTheme="minorHAnsi" w:hAnsiTheme="minorHAnsi" w:cstheme="minorHAnsi"/>
          <w:sz w:val="20"/>
          <w:lang w:val="en-GB"/>
        </w:rPr>
        <w:t>2</w:t>
      </w:r>
      <w:r w:rsidR="000F1A5F" w:rsidRPr="00135F03">
        <w:rPr>
          <w:rFonts w:asciiTheme="minorHAnsi" w:hAnsiTheme="minorHAnsi" w:cstheme="minorHAnsi"/>
          <w:sz w:val="20"/>
          <w:lang w:val="en-GB"/>
        </w:rPr>
        <w:t>.</w:t>
      </w:r>
      <w:r w:rsidR="008A1971" w:rsidRPr="00135F03">
        <w:rPr>
          <w:rFonts w:asciiTheme="minorHAnsi" w:hAnsiTheme="minorHAnsi" w:cstheme="minorHAnsi"/>
          <w:sz w:val="20"/>
          <w:lang w:val="en-GB"/>
        </w:rPr>
        <w:t>2</w:t>
      </w:r>
      <w:r w:rsidR="000F1A5F" w:rsidRPr="00135F03">
        <w:rPr>
          <w:rFonts w:asciiTheme="minorHAnsi" w:hAnsiTheme="minorHAnsi" w:cstheme="minorHAnsi"/>
          <w:sz w:val="20"/>
          <w:lang w:val="en-GB"/>
        </w:rPr>
        <w:t xml:space="preserve"> section 2 (2) item 10).</w:t>
      </w:r>
      <w:r w:rsidR="007A009F">
        <w:rPr>
          <w:rFonts w:asciiTheme="minorHAnsi" w:hAnsiTheme="minorHAnsi" w:cstheme="minorHAnsi"/>
          <w:sz w:val="20"/>
          <w:lang w:val="en-GB"/>
        </w:rPr>
        <w:t xml:space="preserve"> </w:t>
      </w:r>
      <w:bookmarkStart w:id="53" w:name="_Hlk105754884"/>
      <w:r w:rsidR="004C6A01" w:rsidRPr="004C6A01">
        <w:rPr>
          <w:rFonts w:asciiTheme="minorHAnsi" w:hAnsiTheme="minorHAnsi" w:cstheme="minorHAnsi"/>
          <w:sz w:val="20"/>
          <w:lang w:val="en-GB"/>
        </w:rPr>
        <w:t xml:space="preserve">Such information shall </w:t>
      </w:r>
      <w:r w:rsidR="004C6A01" w:rsidRPr="00522F3C">
        <w:rPr>
          <w:rFonts w:asciiTheme="minorHAnsi" w:hAnsiTheme="minorHAnsi" w:cstheme="minorHAnsi"/>
          <w:sz w:val="20"/>
          <w:u w:val="single"/>
          <w:lang w:val="en-GB"/>
        </w:rPr>
        <w:t>not</w:t>
      </w:r>
      <w:r w:rsidR="004C6A01" w:rsidRPr="004C6A01">
        <w:rPr>
          <w:rFonts w:asciiTheme="minorHAnsi" w:hAnsiTheme="minorHAnsi" w:cstheme="minorHAnsi"/>
          <w:sz w:val="20"/>
          <w:lang w:val="en-GB"/>
        </w:rPr>
        <w:t xml:space="preserve"> be limited to the last 5 years.</w:t>
      </w:r>
      <w:bookmarkEnd w:id="53"/>
    </w:p>
    <w:p w14:paraId="50EC4124" w14:textId="61EA6B67" w:rsidR="0090231C" w:rsidRPr="000D5B8C" w:rsidRDefault="006636AB" w:rsidP="006636AB">
      <w:pPr>
        <w:pStyle w:val="Heading4"/>
        <w:rPr>
          <w:b w:val="0"/>
        </w:rPr>
      </w:pPr>
      <w:r w:rsidRPr="000D5B8C">
        <w:rPr>
          <w:b w:val="0"/>
        </w:rPr>
        <w:t xml:space="preserve">Management </w:t>
      </w:r>
      <w:r w:rsidR="00E50ACC">
        <w:rPr>
          <w:b w:val="0"/>
        </w:rPr>
        <w:t>C</w:t>
      </w:r>
      <w:r w:rsidRPr="000D5B8C">
        <w:rPr>
          <w:b w:val="0"/>
        </w:rPr>
        <w:t>ompanies</w:t>
      </w:r>
    </w:p>
    <w:tbl>
      <w:tblPr>
        <w:tblStyle w:val="TableGrid"/>
        <w:tblW w:w="0" w:type="auto"/>
        <w:tblLook w:val="04A0" w:firstRow="1" w:lastRow="0" w:firstColumn="1" w:lastColumn="0" w:noHBand="0" w:noVBand="1"/>
      </w:tblPr>
      <w:tblGrid>
        <w:gridCol w:w="9060"/>
      </w:tblGrid>
      <w:tr w:rsidR="006636AB" w:rsidRPr="00706E66" w14:paraId="6015D913" w14:textId="77777777" w:rsidTr="006636AB">
        <w:tc>
          <w:tcPr>
            <w:tcW w:w="9060" w:type="dxa"/>
            <w:shd w:val="clear" w:color="auto" w:fill="F2F2F2" w:themeFill="background1" w:themeFillShade="F2"/>
          </w:tcPr>
          <w:p w14:paraId="37D1DAED" w14:textId="09C64C15" w:rsidR="00ED5298" w:rsidRPr="00135F03" w:rsidRDefault="006636AB" w:rsidP="00ED5298">
            <w:pPr>
              <w:spacing w:after="120"/>
              <w:rPr>
                <w:b/>
                <w:sz w:val="18"/>
                <w:szCs w:val="18"/>
                <w:lang w:val="en-GB"/>
              </w:rPr>
            </w:pPr>
            <w:r w:rsidRPr="00135F03">
              <w:rPr>
                <w:b/>
                <w:sz w:val="18"/>
                <w:szCs w:val="18"/>
                <w:lang w:val="en-GB"/>
              </w:rPr>
              <w:t xml:space="preserve">RULE BOOK PART II SECTION </w:t>
            </w:r>
            <w:r w:rsidR="00E50ACC" w:rsidRPr="00135F03">
              <w:rPr>
                <w:b/>
                <w:sz w:val="18"/>
                <w:szCs w:val="18"/>
                <w:lang w:val="en-GB"/>
              </w:rPr>
              <w:t>2</w:t>
            </w:r>
            <w:r w:rsidRPr="00135F03">
              <w:rPr>
                <w:b/>
                <w:sz w:val="18"/>
                <w:szCs w:val="18"/>
                <w:lang w:val="en-GB"/>
              </w:rPr>
              <w:t>.</w:t>
            </w:r>
            <w:r w:rsidR="00E50ACC" w:rsidRPr="00135F03">
              <w:rPr>
                <w:b/>
                <w:sz w:val="18"/>
                <w:szCs w:val="18"/>
                <w:lang w:val="en-GB"/>
              </w:rPr>
              <w:t>1</w:t>
            </w:r>
            <w:r w:rsidRPr="00135F03">
              <w:rPr>
                <w:b/>
                <w:sz w:val="18"/>
                <w:szCs w:val="18"/>
                <w:lang w:val="en-GB"/>
              </w:rPr>
              <w:t>.4.3</w:t>
            </w:r>
          </w:p>
          <w:p w14:paraId="619C78C9" w14:textId="77777777" w:rsidR="006636AB" w:rsidRPr="0012549D" w:rsidRDefault="00ED5298" w:rsidP="00C8240D">
            <w:pPr>
              <w:pStyle w:val="ListParagraph"/>
              <w:numPr>
                <w:ilvl w:val="0"/>
                <w:numId w:val="32"/>
              </w:numPr>
              <w:spacing w:after="120" w:line="240" w:lineRule="auto"/>
              <w:rPr>
                <w:sz w:val="18"/>
                <w:szCs w:val="18"/>
                <w:lang w:val="en-GB"/>
              </w:rPr>
            </w:pPr>
            <w:r w:rsidRPr="0012549D">
              <w:rPr>
                <w:sz w:val="18"/>
                <w:szCs w:val="18"/>
                <w:lang w:val="en-GB"/>
              </w:rPr>
              <w:lastRenderedPageBreak/>
              <w:t>Management Companies are obliged to comply with the provisions to which the Issuer would be subject were it to have carried out the functions itself. A breach of such rules caused by the Management Company shall be dealt with as if the breach was caused by the Issuer.</w:t>
            </w:r>
          </w:p>
          <w:p w14:paraId="520F0092" w14:textId="77777777" w:rsidR="00ED5298" w:rsidRPr="0012549D" w:rsidRDefault="00ED5298" w:rsidP="00C8240D">
            <w:pPr>
              <w:pStyle w:val="ListParagraph"/>
              <w:numPr>
                <w:ilvl w:val="0"/>
                <w:numId w:val="32"/>
              </w:numPr>
              <w:spacing w:after="120" w:line="240" w:lineRule="auto"/>
              <w:rPr>
                <w:sz w:val="18"/>
                <w:szCs w:val="18"/>
                <w:lang w:val="en-GB"/>
              </w:rPr>
            </w:pPr>
            <w:r w:rsidRPr="0012549D">
              <w:rPr>
                <w:sz w:val="18"/>
                <w:szCs w:val="18"/>
                <w:lang w:val="en-GB"/>
              </w:rPr>
              <w:t>Prior to submitting an application for admission to trading, the Management Company and the Issuer applying for admission to trading must provide Oslo Børs with a statement of acceptance that regulates the responsibilities and duties of the Issuer and the Management Company vis-á-vis Oslo Børs.</w:t>
            </w:r>
          </w:p>
          <w:p w14:paraId="1BDF4990" w14:textId="062EB16D" w:rsidR="00ED5298" w:rsidRPr="00ED5298" w:rsidRDefault="00ED5298" w:rsidP="00C8240D">
            <w:pPr>
              <w:pStyle w:val="ListParagraph"/>
              <w:numPr>
                <w:ilvl w:val="0"/>
                <w:numId w:val="32"/>
              </w:numPr>
              <w:spacing w:after="120" w:line="240" w:lineRule="auto"/>
              <w:rPr>
                <w:sz w:val="20"/>
                <w:lang w:val="en-GB"/>
              </w:rPr>
            </w:pPr>
            <w:r w:rsidRPr="0012549D">
              <w:rPr>
                <w:sz w:val="18"/>
                <w:szCs w:val="18"/>
                <w:lang w:val="en-GB"/>
              </w:rPr>
              <w:t xml:space="preserve">In the event that the Issuer or the Management Company breaches the </w:t>
            </w:r>
            <w:r w:rsidR="006427BE">
              <w:rPr>
                <w:sz w:val="18"/>
                <w:szCs w:val="18"/>
                <w:lang w:val="en-GB"/>
              </w:rPr>
              <w:t>R</w:t>
            </w:r>
            <w:r w:rsidRPr="0012549D">
              <w:rPr>
                <w:sz w:val="18"/>
                <w:szCs w:val="18"/>
                <w:lang w:val="en-GB"/>
              </w:rPr>
              <w:t xml:space="preserve">ules or the agreement mentioned in the second paragraph, Oslo Børs reserves the right to impose sanctions on such party in accordance with section </w:t>
            </w:r>
            <w:r w:rsidR="00E50ACC">
              <w:rPr>
                <w:sz w:val="18"/>
                <w:szCs w:val="18"/>
                <w:lang w:val="en-GB"/>
              </w:rPr>
              <w:t>3</w:t>
            </w:r>
            <w:r w:rsidRPr="0012549D">
              <w:rPr>
                <w:sz w:val="18"/>
                <w:szCs w:val="18"/>
                <w:lang w:val="en-GB"/>
              </w:rPr>
              <w:t>.</w:t>
            </w:r>
            <w:r w:rsidR="00E50ACC">
              <w:rPr>
                <w:sz w:val="18"/>
                <w:szCs w:val="18"/>
                <w:lang w:val="en-GB"/>
              </w:rPr>
              <w:t>1</w:t>
            </w:r>
            <w:r w:rsidR="001A1981" w:rsidRPr="0012549D">
              <w:rPr>
                <w:sz w:val="18"/>
                <w:szCs w:val="18"/>
                <w:lang w:val="en-GB"/>
              </w:rPr>
              <w:t>8</w:t>
            </w:r>
            <w:r w:rsidRPr="0012549D">
              <w:rPr>
                <w:sz w:val="18"/>
                <w:szCs w:val="18"/>
                <w:lang w:val="en-GB"/>
              </w:rPr>
              <w:t>.</w:t>
            </w:r>
          </w:p>
        </w:tc>
      </w:tr>
    </w:tbl>
    <w:p w14:paraId="56BE62F3" w14:textId="77777777" w:rsidR="006636AB" w:rsidRPr="00A8106A" w:rsidRDefault="006636AB" w:rsidP="006636AB">
      <w:pPr>
        <w:rPr>
          <w:sz w:val="20"/>
          <w:szCs w:val="20"/>
          <w:lang w:val="en-GB" w:eastAsia="nb-NO"/>
        </w:rPr>
      </w:pPr>
    </w:p>
    <w:p w14:paraId="04483650" w14:textId="22A2AD0C" w:rsidR="006636AB" w:rsidRPr="00A8106A" w:rsidRDefault="006636AB" w:rsidP="00E76051">
      <w:pPr>
        <w:pStyle w:val="test"/>
        <w:numPr>
          <w:ilvl w:val="0"/>
          <w:numId w:val="13"/>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If a Management Company is to carry out management functions on behalf </w:t>
      </w:r>
      <w:r w:rsidRPr="00135F03">
        <w:rPr>
          <w:rFonts w:asciiTheme="minorHAnsi" w:hAnsiTheme="minorHAnsi" w:cstheme="minorHAnsi"/>
          <w:sz w:val="20"/>
          <w:lang w:val="en-GB"/>
        </w:rPr>
        <w:t xml:space="preserve">of the Issuer (cf. Rule Book Part II section </w:t>
      </w:r>
      <w:r w:rsidR="00E50ACC"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E50ACC" w:rsidRPr="00135F03">
        <w:rPr>
          <w:rFonts w:asciiTheme="minorHAnsi" w:hAnsiTheme="minorHAnsi" w:cstheme="minorHAnsi"/>
          <w:sz w:val="20"/>
          <w:lang w:val="en-GB"/>
        </w:rPr>
        <w:t>1</w:t>
      </w:r>
      <w:r w:rsidRPr="00135F03">
        <w:rPr>
          <w:rFonts w:asciiTheme="minorHAnsi" w:hAnsiTheme="minorHAnsi" w:cstheme="minorHAnsi"/>
          <w:sz w:val="20"/>
          <w:lang w:val="en-GB"/>
        </w:rPr>
        <w:t>.4.3), please state which management functions are to be carried out by such party, and which are to be carried out by the Issuer itself</w:t>
      </w:r>
      <w:r w:rsidR="000644F8" w:rsidRPr="00135F03">
        <w:rPr>
          <w:rFonts w:asciiTheme="minorHAnsi" w:hAnsiTheme="minorHAnsi" w:cstheme="minorHAnsi"/>
          <w:sz w:val="20"/>
          <w:lang w:val="en-GB"/>
        </w:rPr>
        <w:t xml:space="preserve"> (cf. Notice </w:t>
      </w:r>
      <w:r w:rsidR="00E50ACC" w:rsidRPr="00135F03">
        <w:rPr>
          <w:rFonts w:asciiTheme="minorHAnsi" w:hAnsiTheme="minorHAnsi" w:cstheme="minorHAnsi"/>
          <w:sz w:val="20"/>
          <w:lang w:val="en-GB"/>
        </w:rPr>
        <w:t>2</w:t>
      </w:r>
      <w:r w:rsidR="000644F8" w:rsidRPr="00135F03">
        <w:rPr>
          <w:rFonts w:asciiTheme="minorHAnsi" w:hAnsiTheme="minorHAnsi" w:cstheme="minorHAnsi"/>
          <w:sz w:val="20"/>
          <w:lang w:val="en-GB"/>
        </w:rPr>
        <w:t>.</w:t>
      </w:r>
      <w:r w:rsidR="00E50ACC" w:rsidRPr="00135F03">
        <w:rPr>
          <w:rFonts w:asciiTheme="minorHAnsi" w:hAnsiTheme="minorHAnsi" w:cstheme="minorHAnsi"/>
          <w:sz w:val="20"/>
          <w:lang w:val="en-GB"/>
        </w:rPr>
        <w:t>2</w:t>
      </w:r>
      <w:r w:rsidR="000644F8" w:rsidRPr="00135F03">
        <w:rPr>
          <w:rFonts w:asciiTheme="minorHAnsi" w:hAnsiTheme="minorHAnsi" w:cstheme="minorHAnsi"/>
          <w:sz w:val="20"/>
          <w:lang w:val="en-GB"/>
        </w:rPr>
        <w:t xml:space="preserve"> section 2 (2) item 8)</w:t>
      </w:r>
      <w:r w:rsidRPr="00135F03">
        <w:rPr>
          <w:rFonts w:asciiTheme="minorHAnsi" w:hAnsiTheme="minorHAnsi" w:cstheme="minorHAnsi"/>
          <w:sz w:val="20"/>
          <w:lang w:val="en-GB"/>
        </w:rPr>
        <w:t>.</w:t>
      </w:r>
    </w:p>
    <w:p w14:paraId="61584146" w14:textId="4F1014C2" w:rsidR="006636AB" w:rsidRPr="00A8106A" w:rsidRDefault="006636AB" w:rsidP="00E76051">
      <w:pPr>
        <w:pStyle w:val="test"/>
        <w:numPr>
          <w:ilvl w:val="0"/>
          <w:numId w:val="13"/>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Where appropriate, set out the resources and capacity of the Management Company in respect of satisfying the duties of an Issuer admitted to trading on Euronext Growth Oslo in relation to financial reporting and the management and </w:t>
      </w:r>
      <w:r w:rsidRPr="00135F03">
        <w:rPr>
          <w:rFonts w:asciiTheme="minorHAnsi" w:hAnsiTheme="minorHAnsi" w:cstheme="minorHAnsi"/>
          <w:sz w:val="20"/>
          <w:lang w:val="en-GB"/>
        </w:rPr>
        <w:t xml:space="preserve">disclosure of information, cf. Rule Book Part II section </w:t>
      </w:r>
      <w:r w:rsidR="00E50ACC"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E50ACC" w:rsidRPr="00135F03">
        <w:rPr>
          <w:rFonts w:asciiTheme="minorHAnsi" w:hAnsiTheme="minorHAnsi" w:cstheme="minorHAnsi"/>
          <w:sz w:val="20"/>
          <w:lang w:val="en-GB"/>
        </w:rPr>
        <w:t>1</w:t>
      </w:r>
      <w:r w:rsidRPr="00135F03">
        <w:rPr>
          <w:rFonts w:asciiTheme="minorHAnsi" w:hAnsiTheme="minorHAnsi" w:cstheme="minorHAnsi"/>
          <w:sz w:val="20"/>
          <w:lang w:val="en-GB"/>
        </w:rPr>
        <w:t>.4.1 (2)</w:t>
      </w:r>
      <w:r w:rsidR="000644F8" w:rsidRPr="00135F03">
        <w:rPr>
          <w:rFonts w:asciiTheme="minorHAnsi" w:hAnsiTheme="minorHAnsi" w:cstheme="minorHAnsi"/>
          <w:sz w:val="20"/>
          <w:lang w:val="en-GB"/>
        </w:rPr>
        <w:t xml:space="preserve"> (</w:t>
      </w:r>
      <w:r w:rsidR="003C401C">
        <w:rPr>
          <w:rFonts w:asciiTheme="minorHAnsi" w:hAnsiTheme="minorHAnsi" w:cstheme="minorHAnsi"/>
          <w:sz w:val="20"/>
          <w:lang w:val="en-GB"/>
        </w:rPr>
        <w:t>c</w:t>
      </w:r>
      <w:r w:rsidR="000644F8" w:rsidRPr="00135F03">
        <w:rPr>
          <w:rFonts w:asciiTheme="minorHAnsi" w:hAnsiTheme="minorHAnsi" w:cstheme="minorHAnsi"/>
          <w:sz w:val="20"/>
          <w:lang w:val="en-GB"/>
        </w:rPr>
        <w:t xml:space="preserve">f. Notice </w:t>
      </w:r>
      <w:r w:rsidR="00E50ACC" w:rsidRPr="00135F03">
        <w:rPr>
          <w:rFonts w:asciiTheme="minorHAnsi" w:hAnsiTheme="minorHAnsi" w:cstheme="minorHAnsi"/>
          <w:sz w:val="20"/>
          <w:lang w:val="en-GB"/>
        </w:rPr>
        <w:t>2</w:t>
      </w:r>
      <w:r w:rsidR="000644F8" w:rsidRPr="00135F03">
        <w:rPr>
          <w:rFonts w:asciiTheme="minorHAnsi" w:hAnsiTheme="minorHAnsi" w:cstheme="minorHAnsi"/>
          <w:sz w:val="20"/>
          <w:lang w:val="en-GB"/>
        </w:rPr>
        <w:t>.</w:t>
      </w:r>
      <w:r w:rsidR="00E50ACC" w:rsidRPr="00135F03">
        <w:rPr>
          <w:rFonts w:asciiTheme="minorHAnsi" w:hAnsiTheme="minorHAnsi" w:cstheme="minorHAnsi"/>
          <w:sz w:val="20"/>
          <w:lang w:val="en-GB"/>
        </w:rPr>
        <w:t>2</w:t>
      </w:r>
      <w:r w:rsidR="000644F8" w:rsidRPr="00135F03">
        <w:rPr>
          <w:rFonts w:asciiTheme="minorHAnsi" w:hAnsiTheme="minorHAnsi" w:cstheme="minorHAnsi"/>
          <w:sz w:val="20"/>
          <w:lang w:val="en-GB"/>
        </w:rPr>
        <w:t xml:space="preserve"> section 2 (2) item 8).</w:t>
      </w:r>
    </w:p>
    <w:p w14:paraId="11CD0CB3" w14:textId="4FEB58A6" w:rsidR="006636AB" w:rsidRPr="00A8106A" w:rsidRDefault="006636AB" w:rsidP="00E76051">
      <w:pPr>
        <w:pStyle w:val="test"/>
        <w:numPr>
          <w:ilvl w:val="0"/>
          <w:numId w:val="13"/>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To the extent that such duties are to be carried out by a Management Company, confirm that a statement of acceptance will be entered into in accordance with </w:t>
      </w:r>
      <w:r w:rsidRPr="00135F03">
        <w:rPr>
          <w:rFonts w:asciiTheme="minorHAnsi" w:hAnsiTheme="minorHAnsi" w:cstheme="minorHAnsi"/>
          <w:sz w:val="20"/>
          <w:lang w:val="en-GB"/>
        </w:rPr>
        <w:t xml:space="preserve">Rule Book Part II section </w:t>
      </w:r>
      <w:r w:rsidR="00E50ACC"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E50ACC" w:rsidRPr="00135F03">
        <w:rPr>
          <w:rFonts w:asciiTheme="minorHAnsi" w:hAnsiTheme="minorHAnsi" w:cstheme="minorHAnsi"/>
          <w:sz w:val="20"/>
          <w:lang w:val="en-GB"/>
        </w:rPr>
        <w:t>1</w:t>
      </w:r>
      <w:r w:rsidRPr="00135F03">
        <w:rPr>
          <w:rFonts w:asciiTheme="minorHAnsi" w:hAnsiTheme="minorHAnsi" w:cstheme="minorHAnsi"/>
          <w:sz w:val="20"/>
          <w:lang w:val="en-GB"/>
        </w:rPr>
        <w:t>.4.3 (2).</w:t>
      </w:r>
      <w:r w:rsidRPr="00A8106A">
        <w:rPr>
          <w:rFonts w:asciiTheme="minorHAnsi" w:hAnsiTheme="minorHAnsi" w:cstheme="minorHAnsi"/>
          <w:sz w:val="20"/>
          <w:lang w:val="en-GB"/>
        </w:rPr>
        <w:t xml:space="preserve"> </w:t>
      </w:r>
    </w:p>
    <w:p w14:paraId="4AF7175D" w14:textId="77777777" w:rsidR="006636AB" w:rsidRDefault="006636AB" w:rsidP="006636AB">
      <w:pPr>
        <w:rPr>
          <w:lang w:val="en-GB" w:eastAsia="nb-NO"/>
        </w:rPr>
      </w:pPr>
    </w:p>
    <w:tbl>
      <w:tblPr>
        <w:tblStyle w:val="TableGrid"/>
        <w:tblW w:w="0" w:type="auto"/>
        <w:tblLook w:val="04A0" w:firstRow="1" w:lastRow="0" w:firstColumn="1" w:lastColumn="0" w:noHBand="0" w:noVBand="1"/>
      </w:tblPr>
      <w:tblGrid>
        <w:gridCol w:w="9060"/>
      </w:tblGrid>
      <w:tr w:rsidR="0081615E" w14:paraId="7B90917C" w14:textId="77777777" w:rsidTr="0081615E">
        <w:tc>
          <w:tcPr>
            <w:tcW w:w="9060" w:type="dxa"/>
            <w:shd w:val="clear" w:color="auto" w:fill="F2F2F2" w:themeFill="background1" w:themeFillShade="F2"/>
          </w:tcPr>
          <w:p w14:paraId="0DC42B0A" w14:textId="3993A6DE" w:rsidR="0081615E" w:rsidRPr="008C2894" w:rsidRDefault="0081615E" w:rsidP="0081615E">
            <w:pPr>
              <w:rPr>
                <w:rFonts w:eastAsiaTheme="minorEastAsia"/>
                <w:b/>
                <w:sz w:val="18"/>
                <w:szCs w:val="18"/>
                <w:lang w:val="en-GB"/>
              </w:rPr>
            </w:pPr>
            <w:r w:rsidRPr="008C2894">
              <w:rPr>
                <w:rFonts w:eastAsiaTheme="minorEastAsia"/>
                <w:b/>
                <w:sz w:val="18"/>
                <w:szCs w:val="18"/>
                <w:lang w:val="en-GB"/>
              </w:rPr>
              <w:t>Conclusion</w:t>
            </w:r>
            <w:r w:rsidR="000D5B8C" w:rsidRPr="008C2894">
              <w:rPr>
                <w:rFonts w:eastAsiaTheme="minorEastAsia"/>
                <w:b/>
                <w:sz w:val="18"/>
                <w:szCs w:val="18"/>
                <w:lang w:val="en-GB"/>
              </w:rPr>
              <w:t xml:space="preserve"> – </w:t>
            </w:r>
            <w:r w:rsidRPr="008C2894">
              <w:rPr>
                <w:rFonts w:eastAsiaTheme="minorEastAsia"/>
                <w:b/>
                <w:sz w:val="18"/>
                <w:szCs w:val="18"/>
                <w:lang w:val="en-GB"/>
              </w:rPr>
              <w:t xml:space="preserve">Management and </w:t>
            </w:r>
            <w:r w:rsidR="000D5B8C" w:rsidRPr="008C2894">
              <w:rPr>
                <w:rFonts w:eastAsiaTheme="minorEastAsia"/>
                <w:b/>
                <w:sz w:val="18"/>
                <w:szCs w:val="18"/>
                <w:lang w:val="en-GB"/>
              </w:rPr>
              <w:t>b</w:t>
            </w:r>
            <w:r w:rsidRPr="008C2894">
              <w:rPr>
                <w:rFonts w:eastAsiaTheme="minorEastAsia"/>
                <w:b/>
                <w:sz w:val="18"/>
                <w:szCs w:val="18"/>
                <w:lang w:val="en-GB"/>
              </w:rPr>
              <w:t xml:space="preserve">oard of </w:t>
            </w:r>
            <w:r w:rsidR="000D5B8C" w:rsidRPr="008C2894">
              <w:rPr>
                <w:rFonts w:eastAsiaTheme="minorEastAsia"/>
                <w:b/>
                <w:sz w:val="18"/>
                <w:szCs w:val="18"/>
                <w:lang w:val="en-GB"/>
              </w:rPr>
              <w:t>d</w:t>
            </w:r>
            <w:r w:rsidRPr="008C2894">
              <w:rPr>
                <w:rFonts w:eastAsiaTheme="minorEastAsia"/>
                <w:b/>
                <w:sz w:val="18"/>
                <w:szCs w:val="18"/>
                <w:lang w:val="en-GB"/>
              </w:rPr>
              <w:t xml:space="preserve">irectors </w:t>
            </w:r>
          </w:p>
          <w:p w14:paraId="39B3DCC0" w14:textId="77777777" w:rsidR="0081615E" w:rsidRPr="008C2894" w:rsidRDefault="0081615E" w:rsidP="0081615E">
            <w:pPr>
              <w:rPr>
                <w:rFonts w:eastAsiaTheme="minorEastAsia"/>
                <w:b/>
                <w:sz w:val="18"/>
                <w:szCs w:val="18"/>
                <w:lang w:val="en-GB"/>
              </w:rPr>
            </w:pPr>
          </w:p>
          <w:p w14:paraId="4913116E" w14:textId="0AC2D892" w:rsidR="0081615E" w:rsidRPr="005B728D" w:rsidRDefault="0081615E" w:rsidP="008C2894">
            <w:pPr>
              <w:pStyle w:val="test"/>
              <w:spacing w:after="0"/>
              <w:jc w:val="center"/>
              <w:rPr>
                <w:sz w:val="20"/>
                <w:lang w:val="en-US"/>
              </w:rPr>
            </w:pPr>
            <w:r w:rsidRPr="008C2894">
              <w:rPr>
                <w:b/>
                <w:sz w:val="18"/>
                <w:szCs w:val="18"/>
                <w:lang w:val="en-GB"/>
              </w:rPr>
              <w:t>--------------------------- Reserved for Oslo Børs ---------------------------</w:t>
            </w:r>
          </w:p>
        </w:tc>
      </w:tr>
    </w:tbl>
    <w:p w14:paraId="128BF206" w14:textId="3AEDF7D2" w:rsidR="0090231C" w:rsidRPr="00B01492" w:rsidRDefault="0081615E" w:rsidP="0002001C">
      <w:pPr>
        <w:pStyle w:val="Heading3"/>
        <w:rPr>
          <w:sz w:val="20"/>
          <w:szCs w:val="20"/>
        </w:rPr>
      </w:pPr>
      <w:r w:rsidRPr="00B01492">
        <w:rPr>
          <w:sz w:val="20"/>
          <w:szCs w:val="20"/>
        </w:rPr>
        <w:t>Shares</w:t>
      </w:r>
    </w:p>
    <w:p w14:paraId="1DD091E5" w14:textId="260F2818" w:rsidR="0090231C" w:rsidRPr="001741C7" w:rsidRDefault="0081615E" w:rsidP="006636AB">
      <w:pPr>
        <w:pStyle w:val="Heading4"/>
        <w:rPr>
          <w:b w:val="0"/>
        </w:rPr>
      </w:pPr>
      <w:r w:rsidRPr="001741C7">
        <w:rPr>
          <w:b w:val="0"/>
        </w:rPr>
        <w:t>Admission to trading based on spread of Share ownership and number of shareholders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706E66" w14:paraId="2E0B8449" w14:textId="77777777" w:rsidTr="001549E1">
        <w:tc>
          <w:tcPr>
            <w:tcW w:w="9212" w:type="dxa"/>
            <w:shd w:val="clear" w:color="auto" w:fill="F3F3F3"/>
          </w:tcPr>
          <w:p w14:paraId="64BA89EC" w14:textId="235A30FF" w:rsidR="00412B4E" w:rsidRPr="00135F03" w:rsidRDefault="0081615E" w:rsidP="00FC2920">
            <w:pPr>
              <w:spacing w:after="120"/>
              <w:rPr>
                <w:b/>
                <w:sz w:val="18"/>
                <w:szCs w:val="20"/>
                <w:lang w:val="en-GB"/>
              </w:rPr>
            </w:pPr>
            <w:r w:rsidRPr="00135F03">
              <w:rPr>
                <w:sz w:val="18"/>
                <w:szCs w:val="20"/>
                <w:lang w:val="en-GB"/>
              </w:rPr>
              <w:t xml:space="preserve"> </w:t>
            </w:r>
            <w:r w:rsidRPr="00135F03">
              <w:rPr>
                <w:b/>
                <w:sz w:val="18"/>
                <w:szCs w:val="20"/>
                <w:lang w:val="en-GB"/>
              </w:rPr>
              <w:t xml:space="preserve">RULE BOOK PART II SECTION </w:t>
            </w:r>
            <w:r w:rsidR="00E50ACC" w:rsidRPr="00135F03">
              <w:rPr>
                <w:b/>
                <w:sz w:val="18"/>
                <w:szCs w:val="20"/>
                <w:lang w:val="en-GB"/>
              </w:rPr>
              <w:t>2</w:t>
            </w:r>
            <w:r w:rsidRPr="00135F03">
              <w:rPr>
                <w:b/>
                <w:sz w:val="18"/>
                <w:szCs w:val="20"/>
                <w:lang w:val="en-GB"/>
              </w:rPr>
              <w:t>.</w:t>
            </w:r>
            <w:r w:rsidR="00E50ACC" w:rsidRPr="00135F03">
              <w:rPr>
                <w:b/>
                <w:sz w:val="18"/>
                <w:szCs w:val="20"/>
                <w:lang w:val="en-GB"/>
              </w:rPr>
              <w:t>1</w:t>
            </w:r>
            <w:r w:rsidRPr="00135F03">
              <w:rPr>
                <w:b/>
                <w:sz w:val="18"/>
                <w:szCs w:val="20"/>
                <w:lang w:val="en-GB"/>
              </w:rPr>
              <w:t>.5.1</w:t>
            </w:r>
          </w:p>
          <w:p w14:paraId="634A221C" w14:textId="756912F3" w:rsidR="00353833" w:rsidRPr="00135F03" w:rsidRDefault="00FC2920" w:rsidP="00FC2920">
            <w:pPr>
              <w:spacing w:after="120"/>
              <w:rPr>
                <w:rFonts w:eastAsiaTheme="minorEastAsia"/>
                <w:sz w:val="18"/>
                <w:szCs w:val="18"/>
                <w:lang w:val="en-GB"/>
              </w:rPr>
            </w:pPr>
            <w:r w:rsidRPr="00135F03">
              <w:rPr>
                <w:rFonts w:eastAsiaTheme="minorEastAsia"/>
                <w:sz w:val="18"/>
                <w:szCs w:val="18"/>
                <w:lang w:val="en-GB"/>
              </w:rPr>
              <w:t xml:space="preserve">In addition to the requirement in Rule 3.2.1, cf. 3.1.1 of Rule Book Part I the Issuer must </w:t>
            </w:r>
            <w:proofErr w:type="spellStart"/>
            <w:r w:rsidRPr="00135F03">
              <w:rPr>
                <w:rFonts w:eastAsiaTheme="minorEastAsia"/>
                <w:sz w:val="18"/>
                <w:szCs w:val="18"/>
                <w:lang w:val="en-GB"/>
              </w:rPr>
              <w:t>fulfill</w:t>
            </w:r>
            <w:proofErr w:type="spellEnd"/>
            <w:r w:rsidRPr="00135F03">
              <w:rPr>
                <w:rFonts w:eastAsiaTheme="minorEastAsia"/>
                <w:sz w:val="18"/>
                <w:szCs w:val="18"/>
                <w:lang w:val="en-GB"/>
              </w:rPr>
              <w:t xml:space="preserve"> the requirements set out in section </w:t>
            </w:r>
            <w:r w:rsidR="00E50ACC" w:rsidRPr="00135F03">
              <w:rPr>
                <w:rFonts w:eastAsiaTheme="minorEastAsia"/>
                <w:sz w:val="18"/>
                <w:szCs w:val="18"/>
                <w:lang w:val="en-GB"/>
              </w:rPr>
              <w:t>2</w:t>
            </w:r>
            <w:r w:rsidRPr="00135F03">
              <w:rPr>
                <w:rFonts w:eastAsiaTheme="minorEastAsia"/>
                <w:sz w:val="18"/>
                <w:szCs w:val="18"/>
                <w:lang w:val="en-GB"/>
              </w:rPr>
              <w:t>.</w:t>
            </w:r>
            <w:r w:rsidR="00E50ACC" w:rsidRPr="00135F03">
              <w:rPr>
                <w:rFonts w:eastAsiaTheme="minorEastAsia"/>
                <w:sz w:val="18"/>
                <w:szCs w:val="18"/>
                <w:lang w:val="en-GB"/>
              </w:rPr>
              <w:t>1</w:t>
            </w:r>
            <w:r w:rsidRPr="00135F03">
              <w:rPr>
                <w:rFonts w:eastAsiaTheme="minorEastAsia"/>
                <w:sz w:val="18"/>
                <w:szCs w:val="18"/>
                <w:lang w:val="en-GB"/>
              </w:rPr>
              <w:t xml:space="preserve">.5.2 and </w:t>
            </w:r>
            <w:r w:rsidR="00E50ACC" w:rsidRPr="00135F03">
              <w:rPr>
                <w:rFonts w:eastAsiaTheme="minorEastAsia"/>
                <w:sz w:val="18"/>
                <w:szCs w:val="18"/>
                <w:lang w:val="en-GB"/>
              </w:rPr>
              <w:t>2</w:t>
            </w:r>
            <w:r w:rsidRPr="00135F03">
              <w:rPr>
                <w:rFonts w:eastAsiaTheme="minorEastAsia"/>
                <w:sz w:val="18"/>
                <w:szCs w:val="18"/>
                <w:lang w:val="en-GB"/>
              </w:rPr>
              <w:t>.</w:t>
            </w:r>
            <w:r w:rsidR="00E50ACC" w:rsidRPr="00135F03">
              <w:rPr>
                <w:rFonts w:eastAsiaTheme="minorEastAsia"/>
                <w:sz w:val="18"/>
                <w:szCs w:val="18"/>
                <w:lang w:val="en-GB"/>
              </w:rPr>
              <w:t>1</w:t>
            </w:r>
            <w:r w:rsidRPr="00135F03">
              <w:rPr>
                <w:rFonts w:eastAsiaTheme="minorEastAsia"/>
                <w:sz w:val="18"/>
                <w:szCs w:val="18"/>
                <w:lang w:val="en-GB"/>
              </w:rPr>
              <w:t>.5.3 below. Oslo Børs may in its sole discretion grant an exemption from the requirement that the Private Placement must have been made during the year prior to the scheduled date of first admission to trading in Rule 3.2.1 (ii) of Rule Book Part I.</w:t>
            </w:r>
          </w:p>
        </w:tc>
      </w:tr>
    </w:tbl>
    <w:p w14:paraId="0ADE9E85" w14:textId="77777777" w:rsidR="00171DA7" w:rsidRPr="00A8106A" w:rsidRDefault="00171DA7" w:rsidP="00171DA7">
      <w:pPr>
        <w:rPr>
          <w:lang w:val="en-GB"/>
        </w:rPr>
      </w:pPr>
    </w:p>
    <w:p w14:paraId="0EE89E12" w14:textId="77777777" w:rsidR="0081615E" w:rsidRPr="00A8106A" w:rsidRDefault="0081615E" w:rsidP="00E76051">
      <w:pPr>
        <w:pStyle w:val="ListParagraph"/>
        <w:numPr>
          <w:ilvl w:val="0"/>
          <w:numId w:val="14"/>
        </w:numPr>
        <w:spacing w:after="0" w:line="240" w:lineRule="auto"/>
        <w:contextualSpacing/>
        <w:jc w:val="both"/>
        <w:rPr>
          <w:rFonts w:eastAsiaTheme="minorHAnsi"/>
          <w:sz w:val="20"/>
          <w:szCs w:val="20"/>
          <w:lang w:val="en-US" w:eastAsia="en-US"/>
        </w:rPr>
      </w:pPr>
      <w:r w:rsidRPr="00A8106A">
        <w:rPr>
          <w:rFonts w:eastAsiaTheme="minorHAnsi"/>
          <w:sz w:val="20"/>
          <w:szCs w:val="20"/>
          <w:lang w:val="en-US" w:eastAsia="en-US"/>
        </w:rPr>
        <w:t>Please state whether admission to trading will be achieved through a Public Offer, a Private Placement or a Direct Admission and how the requirements pursuant to Rule Book Part I Rule 3.2.1, cf. Rule 3.1.1 are or will be fulfilled.</w:t>
      </w:r>
    </w:p>
    <w:p w14:paraId="0D04CA98" w14:textId="77777777" w:rsidR="0081615E" w:rsidRPr="00B01492" w:rsidRDefault="0081615E" w:rsidP="00E76051">
      <w:pPr>
        <w:jc w:val="both"/>
        <w:rPr>
          <w:sz w:val="20"/>
          <w:szCs w:val="20"/>
          <w:lang w:val="en-US"/>
        </w:rPr>
      </w:pPr>
    </w:p>
    <w:p w14:paraId="3B719186" w14:textId="072BB88B" w:rsidR="0081615E" w:rsidRDefault="0081615E" w:rsidP="00E76051">
      <w:pPr>
        <w:pStyle w:val="ListParagraph"/>
        <w:numPr>
          <w:ilvl w:val="0"/>
          <w:numId w:val="14"/>
        </w:numPr>
        <w:spacing w:after="0" w:line="240" w:lineRule="auto"/>
        <w:contextualSpacing/>
        <w:jc w:val="both"/>
        <w:rPr>
          <w:rFonts w:eastAsiaTheme="minorHAnsi"/>
          <w:sz w:val="20"/>
          <w:szCs w:val="20"/>
          <w:lang w:val="en-US" w:eastAsia="en-US"/>
        </w:rPr>
      </w:pPr>
      <w:r w:rsidRPr="00A8106A">
        <w:rPr>
          <w:rFonts w:eastAsiaTheme="minorHAnsi"/>
          <w:sz w:val="20"/>
          <w:szCs w:val="20"/>
          <w:lang w:val="en-US" w:eastAsia="en-US"/>
        </w:rPr>
        <w:t xml:space="preserve">If admission to trading will be achieved through a Public Offer or </w:t>
      </w:r>
      <w:r w:rsidR="003C401C">
        <w:rPr>
          <w:rFonts w:eastAsiaTheme="minorHAnsi"/>
          <w:sz w:val="20"/>
          <w:szCs w:val="20"/>
          <w:lang w:val="en-US" w:eastAsia="en-US"/>
        </w:rPr>
        <w:t xml:space="preserve">a </w:t>
      </w:r>
      <w:r w:rsidRPr="00A8106A">
        <w:rPr>
          <w:rFonts w:eastAsiaTheme="minorHAnsi"/>
          <w:sz w:val="20"/>
          <w:szCs w:val="20"/>
          <w:lang w:val="en-US" w:eastAsia="en-US"/>
        </w:rPr>
        <w:t>Private Placement to be carried out prior to admission to trading, please set out further details on the transaction in section 1.3.3.2 or 1.3.3.3 below.</w:t>
      </w:r>
    </w:p>
    <w:p w14:paraId="3760E874" w14:textId="77777777" w:rsidR="00E00FC7" w:rsidRPr="00E00FC7" w:rsidRDefault="00E00FC7" w:rsidP="00E76051">
      <w:pPr>
        <w:jc w:val="both"/>
        <w:rPr>
          <w:sz w:val="20"/>
          <w:szCs w:val="20"/>
          <w:lang w:val="en-US"/>
        </w:rPr>
      </w:pPr>
    </w:p>
    <w:p w14:paraId="501E599E" w14:textId="1A3B8378" w:rsidR="00E00FC7" w:rsidRPr="00B01492" w:rsidRDefault="00E00FC7" w:rsidP="00E76051">
      <w:pPr>
        <w:pStyle w:val="ListParagraph"/>
        <w:numPr>
          <w:ilvl w:val="0"/>
          <w:numId w:val="14"/>
        </w:numPr>
        <w:spacing w:after="0" w:line="240" w:lineRule="auto"/>
        <w:contextualSpacing/>
        <w:jc w:val="both"/>
        <w:rPr>
          <w:rFonts w:eastAsiaTheme="minorHAnsi"/>
          <w:sz w:val="20"/>
          <w:szCs w:val="20"/>
          <w:lang w:val="en-US" w:eastAsia="en-US"/>
        </w:rPr>
      </w:pPr>
      <w:r>
        <w:rPr>
          <w:rFonts w:eastAsiaTheme="minorHAnsi"/>
          <w:sz w:val="20"/>
          <w:szCs w:val="20"/>
          <w:lang w:val="en-US" w:eastAsia="en-US"/>
        </w:rPr>
        <w:t xml:space="preserve">If admission to trading will be </w:t>
      </w:r>
      <w:proofErr w:type="spellStart"/>
      <w:r>
        <w:rPr>
          <w:rFonts w:eastAsiaTheme="minorHAnsi"/>
          <w:sz w:val="20"/>
          <w:szCs w:val="20"/>
          <w:lang w:val="en-US" w:eastAsia="en-US"/>
        </w:rPr>
        <w:t>achieced</w:t>
      </w:r>
      <w:proofErr w:type="spellEnd"/>
      <w:r>
        <w:rPr>
          <w:rFonts w:eastAsiaTheme="minorHAnsi"/>
          <w:sz w:val="20"/>
          <w:szCs w:val="20"/>
          <w:lang w:val="en-US" w:eastAsia="en-US"/>
        </w:rPr>
        <w:t xml:space="preserve"> through a Direct Admission, the Euronext Growth Advisor shall confirm </w:t>
      </w:r>
      <w:r w:rsidRPr="00E00FC7">
        <w:rPr>
          <w:rFonts w:eastAsiaTheme="minorHAnsi"/>
          <w:sz w:val="20"/>
          <w:szCs w:val="20"/>
          <w:lang w:val="en-US" w:eastAsia="en-US"/>
        </w:rPr>
        <w:t xml:space="preserve">that </w:t>
      </w:r>
      <w:r>
        <w:rPr>
          <w:rFonts w:eastAsiaTheme="minorHAnsi"/>
          <w:sz w:val="20"/>
          <w:szCs w:val="20"/>
          <w:lang w:val="en-US" w:eastAsia="en-US"/>
        </w:rPr>
        <w:t>the Issuer</w:t>
      </w:r>
      <w:r w:rsidRPr="00E00FC7">
        <w:rPr>
          <w:rFonts w:eastAsiaTheme="minorHAnsi"/>
          <w:sz w:val="20"/>
          <w:szCs w:val="20"/>
          <w:lang w:val="en-US" w:eastAsia="en-US"/>
        </w:rPr>
        <w:t xml:space="preserve"> has satisfied and continues to satisfy the reporting and disclosure requirements of the market on which it is already admitted to trading</w:t>
      </w:r>
      <w:r w:rsidR="00781B13">
        <w:rPr>
          <w:rFonts w:eastAsiaTheme="minorHAnsi"/>
          <w:sz w:val="20"/>
          <w:szCs w:val="20"/>
          <w:lang w:val="en-US" w:eastAsia="en-US"/>
        </w:rPr>
        <w:t xml:space="preserve"> (cf. Rule Book I Rule 3.2.1 (iii)).</w:t>
      </w:r>
    </w:p>
    <w:p w14:paraId="0855C2A8" w14:textId="3BB59657" w:rsidR="0090231C" w:rsidRPr="00B01492" w:rsidRDefault="0081615E" w:rsidP="006636AB">
      <w:pPr>
        <w:pStyle w:val="Heading4"/>
        <w:rPr>
          <w:rFonts w:cs="Arial"/>
          <w:b w:val="0"/>
        </w:rPr>
      </w:pPr>
      <w:r w:rsidRPr="00B01492">
        <w:rPr>
          <w:b w:val="0"/>
        </w:rPr>
        <w:t xml:space="preserve">15% </w:t>
      </w:r>
      <w:r w:rsidR="00B01492">
        <w:rPr>
          <w:b w:val="0"/>
        </w:rPr>
        <w:t>s</w:t>
      </w:r>
      <w:r w:rsidRPr="00B01492">
        <w:rPr>
          <w:b w:val="0"/>
        </w:rPr>
        <w:t>pread of Share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706E66" w14:paraId="1411A612" w14:textId="77777777" w:rsidTr="001549E1">
        <w:tc>
          <w:tcPr>
            <w:tcW w:w="9212" w:type="dxa"/>
            <w:shd w:val="clear" w:color="auto" w:fill="F3F3F3"/>
          </w:tcPr>
          <w:p w14:paraId="07665A19" w14:textId="1E13D1C2" w:rsidR="00D27DE5" w:rsidRPr="00C8240D" w:rsidRDefault="00D27DE5" w:rsidP="00C8240D">
            <w:pPr>
              <w:spacing w:after="120"/>
              <w:rPr>
                <w:b/>
                <w:sz w:val="18"/>
                <w:szCs w:val="20"/>
                <w:lang w:val="en-GB"/>
              </w:rPr>
            </w:pPr>
            <w:r w:rsidRPr="00135F03">
              <w:rPr>
                <w:b/>
                <w:sz w:val="18"/>
                <w:szCs w:val="20"/>
                <w:lang w:val="en-GB"/>
              </w:rPr>
              <w:t xml:space="preserve">RULE BOOK PART II SECTION </w:t>
            </w:r>
            <w:r w:rsidR="00E50ACC" w:rsidRPr="00135F03">
              <w:rPr>
                <w:b/>
                <w:sz w:val="18"/>
                <w:szCs w:val="20"/>
                <w:lang w:val="en-GB"/>
              </w:rPr>
              <w:t>2</w:t>
            </w:r>
            <w:r w:rsidRPr="00135F03">
              <w:rPr>
                <w:b/>
                <w:sz w:val="18"/>
                <w:szCs w:val="20"/>
                <w:lang w:val="en-GB"/>
              </w:rPr>
              <w:t>.</w:t>
            </w:r>
            <w:r w:rsidR="00E50ACC" w:rsidRPr="00135F03">
              <w:rPr>
                <w:b/>
                <w:sz w:val="18"/>
                <w:szCs w:val="20"/>
                <w:lang w:val="en-GB"/>
              </w:rPr>
              <w:t>1</w:t>
            </w:r>
            <w:r w:rsidRPr="00135F03">
              <w:rPr>
                <w:b/>
                <w:sz w:val="18"/>
                <w:szCs w:val="20"/>
                <w:lang w:val="en-GB"/>
              </w:rPr>
              <w:t>.5.2</w:t>
            </w:r>
          </w:p>
          <w:p w14:paraId="287D5FA4" w14:textId="77777777" w:rsidR="006E3F2B" w:rsidRDefault="006E3F2B" w:rsidP="00C8240D">
            <w:pPr>
              <w:pStyle w:val="ListParagraph"/>
              <w:numPr>
                <w:ilvl w:val="0"/>
                <w:numId w:val="33"/>
              </w:numPr>
              <w:spacing w:after="120" w:line="240" w:lineRule="auto"/>
              <w:rPr>
                <w:rFonts w:eastAsiaTheme="minorEastAsia"/>
                <w:sz w:val="18"/>
                <w:szCs w:val="18"/>
                <w:lang w:val="en-GB"/>
              </w:rPr>
            </w:pPr>
            <w:r>
              <w:rPr>
                <w:rFonts w:eastAsiaTheme="minorEastAsia"/>
                <w:sz w:val="18"/>
                <w:szCs w:val="18"/>
                <w:lang w:val="en-GB"/>
              </w:rPr>
              <w:t xml:space="preserve">At </w:t>
            </w:r>
            <w:r w:rsidRPr="006E3F2B">
              <w:rPr>
                <w:rFonts w:eastAsiaTheme="minorEastAsia"/>
                <w:sz w:val="18"/>
                <w:szCs w:val="18"/>
                <w:lang w:val="en-GB"/>
              </w:rPr>
              <w:t>least 15% of the Shares for which admission to trading is sought must be distributed among the general public.</w:t>
            </w:r>
          </w:p>
          <w:p w14:paraId="3B51A2E4" w14:textId="77777777" w:rsidR="00C8240D" w:rsidRPr="00C8240D" w:rsidRDefault="00C8240D" w:rsidP="00C8240D">
            <w:pPr>
              <w:pStyle w:val="ListParagraph"/>
              <w:numPr>
                <w:ilvl w:val="0"/>
                <w:numId w:val="33"/>
              </w:numPr>
              <w:spacing w:after="120" w:line="240" w:lineRule="auto"/>
              <w:rPr>
                <w:rFonts w:eastAsiaTheme="minorEastAsia"/>
                <w:sz w:val="18"/>
                <w:szCs w:val="18"/>
                <w:lang w:val="en-GB"/>
              </w:rPr>
            </w:pPr>
            <w:r w:rsidRPr="00C8240D">
              <w:rPr>
                <w:rFonts w:eastAsiaTheme="minorEastAsia"/>
                <w:sz w:val="18"/>
                <w:szCs w:val="18"/>
                <w:lang w:val="en-GB"/>
              </w:rPr>
              <w:t>The first paragraph is deemed to be satisfied if, at the time of admission to trading, the proportion of the Shares mentioned is distributed among persons who do not have such association with the Issuer as is mentioned in the fourth paragraph, and who each holds Shares with a value of at least NOK 5,000 (or equivalent in another currency). In case of doubt, Oslo Børs determines whether the requirement set out in the first sentence is satisfied.</w:t>
            </w:r>
          </w:p>
          <w:p w14:paraId="395DB023" w14:textId="77777777" w:rsidR="00C8240D" w:rsidRDefault="00C8240D" w:rsidP="00C8240D">
            <w:pPr>
              <w:pStyle w:val="ListParagraph"/>
              <w:numPr>
                <w:ilvl w:val="0"/>
                <w:numId w:val="33"/>
              </w:numPr>
              <w:spacing w:after="120" w:line="240" w:lineRule="auto"/>
              <w:rPr>
                <w:rFonts w:eastAsiaTheme="minorEastAsia"/>
                <w:sz w:val="18"/>
                <w:szCs w:val="18"/>
                <w:lang w:val="en-GB"/>
              </w:rPr>
            </w:pPr>
            <w:r>
              <w:rPr>
                <w:rFonts w:eastAsiaTheme="minorEastAsia"/>
                <w:sz w:val="18"/>
                <w:szCs w:val="18"/>
                <w:lang w:val="en-GB"/>
              </w:rPr>
              <w:lastRenderedPageBreak/>
              <w:t xml:space="preserve">Shares </w:t>
            </w:r>
            <w:r w:rsidRPr="00C8240D">
              <w:rPr>
                <w:rFonts w:eastAsiaTheme="minorEastAsia"/>
                <w:sz w:val="18"/>
                <w:szCs w:val="18"/>
                <w:lang w:val="en-GB"/>
              </w:rPr>
              <w:t>held by persons who hold, individually or together with their close associates, more than 10% of the Share capital or voting capital of the Issuer ("larger shareholders") cannot be included in the calculation. Close associates mean such persons and companies as mentioned in Section 2-5 of the Securities Trading Act.</w:t>
            </w:r>
          </w:p>
          <w:p w14:paraId="198E8726" w14:textId="77777777" w:rsidR="00C8240D" w:rsidRDefault="00C8240D" w:rsidP="00C8240D">
            <w:pPr>
              <w:pStyle w:val="ListParagraph"/>
              <w:numPr>
                <w:ilvl w:val="0"/>
                <w:numId w:val="33"/>
              </w:numPr>
              <w:spacing w:after="120" w:line="240" w:lineRule="auto"/>
              <w:rPr>
                <w:rFonts w:eastAsiaTheme="minorEastAsia"/>
                <w:sz w:val="18"/>
                <w:szCs w:val="18"/>
                <w:lang w:val="en-GB"/>
              </w:rPr>
            </w:pPr>
            <w:r>
              <w:rPr>
                <w:rFonts w:eastAsiaTheme="minorEastAsia"/>
                <w:sz w:val="18"/>
                <w:szCs w:val="18"/>
                <w:lang w:val="en-GB"/>
              </w:rPr>
              <w:t>Shareholders that are associated with the Issuer are defined as follows:</w:t>
            </w:r>
          </w:p>
          <w:p w14:paraId="44E4845C" w14:textId="0029E1CE" w:rsidR="00C8240D" w:rsidRDefault="00C8240D" w:rsidP="00C8240D">
            <w:pPr>
              <w:pStyle w:val="ListParagraph"/>
              <w:numPr>
                <w:ilvl w:val="1"/>
                <w:numId w:val="33"/>
              </w:numPr>
              <w:spacing w:after="120" w:line="240" w:lineRule="auto"/>
              <w:rPr>
                <w:rFonts w:eastAsiaTheme="minorEastAsia"/>
                <w:sz w:val="18"/>
                <w:szCs w:val="18"/>
                <w:lang w:val="en-GB"/>
              </w:rPr>
            </w:pPr>
            <w:r>
              <w:rPr>
                <w:rFonts w:eastAsiaTheme="minorEastAsia"/>
                <w:sz w:val="18"/>
                <w:szCs w:val="18"/>
                <w:lang w:val="en-GB"/>
              </w:rPr>
              <w:t xml:space="preserve">members </w:t>
            </w:r>
            <w:r w:rsidRPr="00C8240D">
              <w:rPr>
                <w:rFonts w:eastAsiaTheme="minorEastAsia"/>
                <w:sz w:val="18"/>
                <w:szCs w:val="18"/>
                <w:lang w:val="en-GB"/>
              </w:rPr>
              <w:t>of the Issuer’s board of directors, corporate assembly, board of representatives, committee of representatives or control committee, the Issuer’s auditor, the Issuer’s chief executive and other members of the Issuer’s executive management,</w:t>
            </w:r>
          </w:p>
          <w:p w14:paraId="773A0FF3" w14:textId="77777777" w:rsidR="00C8240D" w:rsidRDefault="00C8240D" w:rsidP="00C8240D">
            <w:pPr>
              <w:pStyle w:val="ListParagraph"/>
              <w:numPr>
                <w:ilvl w:val="1"/>
                <w:numId w:val="33"/>
              </w:numPr>
              <w:spacing w:after="120" w:line="240" w:lineRule="auto"/>
              <w:rPr>
                <w:rFonts w:eastAsiaTheme="minorEastAsia"/>
                <w:sz w:val="18"/>
                <w:szCs w:val="18"/>
                <w:lang w:val="en-GB"/>
              </w:rPr>
            </w:pPr>
            <w:r>
              <w:rPr>
                <w:rFonts w:eastAsiaTheme="minorEastAsia"/>
                <w:sz w:val="18"/>
                <w:szCs w:val="18"/>
                <w:lang w:val="en-GB"/>
              </w:rPr>
              <w:t xml:space="preserve">the </w:t>
            </w:r>
            <w:r w:rsidRPr="00C8240D">
              <w:rPr>
                <w:rFonts w:eastAsiaTheme="minorEastAsia"/>
                <w:sz w:val="18"/>
                <w:szCs w:val="18"/>
                <w:lang w:val="en-GB"/>
              </w:rPr>
              <w:t>spouse of a person mentioned in item 1 or a person with whom such a person cohabits in a relationship akin to marriage,</w:t>
            </w:r>
          </w:p>
          <w:p w14:paraId="7448D85F" w14:textId="77777777" w:rsidR="00C8240D" w:rsidRDefault="00C8240D" w:rsidP="00C8240D">
            <w:pPr>
              <w:pStyle w:val="ListParagraph"/>
              <w:numPr>
                <w:ilvl w:val="1"/>
                <w:numId w:val="33"/>
              </w:numPr>
              <w:spacing w:after="120" w:line="240" w:lineRule="auto"/>
              <w:rPr>
                <w:rFonts w:eastAsiaTheme="minorEastAsia"/>
                <w:sz w:val="18"/>
                <w:szCs w:val="18"/>
                <w:lang w:val="en-GB"/>
              </w:rPr>
            </w:pPr>
            <w:r>
              <w:rPr>
                <w:rFonts w:eastAsiaTheme="minorEastAsia"/>
                <w:sz w:val="18"/>
                <w:szCs w:val="18"/>
                <w:lang w:val="en-GB"/>
              </w:rPr>
              <w:t xml:space="preserve">the </w:t>
            </w:r>
            <w:r w:rsidRPr="00C8240D">
              <w:rPr>
                <w:rFonts w:eastAsiaTheme="minorEastAsia"/>
                <w:sz w:val="18"/>
                <w:szCs w:val="18"/>
                <w:lang w:val="en-GB"/>
              </w:rPr>
              <w:t>under-age children of a person mentioned in item 1 or 2,</w:t>
            </w:r>
          </w:p>
          <w:p w14:paraId="38A83867" w14:textId="77777777" w:rsidR="00C8240D" w:rsidRDefault="00C8240D" w:rsidP="00C8240D">
            <w:pPr>
              <w:pStyle w:val="ListParagraph"/>
              <w:numPr>
                <w:ilvl w:val="1"/>
                <w:numId w:val="33"/>
              </w:numPr>
              <w:spacing w:after="120" w:line="240" w:lineRule="auto"/>
              <w:rPr>
                <w:rFonts w:eastAsiaTheme="minorEastAsia"/>
                <w:sz w:val="18"/>
                <w:szCs w:val="18"/>
                <w:lang w:val="en-GB"/>
              </w:rPr>
            </w:pPr>
            <w:r>
              <w:rPr>
                <w:rFonts w:eastAsiaTheme="minorEastAsia"/>
                <w:sz w:val="18"/>
                <w:szCs w:val="18"/>
                <w:lang w:val="en-GB"/>
              </w:rPr>
              <w:t xml:space="preserve">an </w:t>
            </w:r>
            <w:r w:rsidRPr="00C8240D">
              <w:rPr>
                <w:rFonts w:eastAsiaTheme="minorEastAsia"/>
                <w:sz w:val="18"/>
                <w:szCs w:val="18"/>
                <w:lang w:val="en-GB"/>
              </w:rPr>
              <w:t>undertaking in which a person mentioned in item 1 or 2, either singly or together with other persons mentioned, exercises influence as mentioned in Section 1-3 (2) of the Norwegian Public Limited Liability Companies Act,</w:t>
            </w:r>
          </w:p>
          <w:p w14:paraId="2209436E" w14:textId="77777777" w:rsidR="00C8240D" w:rsidRDefault="00C8240D" w:rsidP="00C8240D">
            <w:pPr>
              <w:pStyle w:val="ListParagraph"/>
              <w:numPr>
                <w:ilvl w:val="1"/>
                <w:numId w:val="33"/>
              </w:numPr>
              <w:spacing w:after="120" w:line="240" w:lineRule="auto"/>
              <w:rPr>
                <w:rFonts w:eastAsiaTheme="minorEastAsia"/>
                <w:sz w:val="18"/>
                <w:szCs w:val="18"/>
                <w:lang w:val="en-GB"/>
              </w:rPr>
            </w:pPr>
            <w:r>
              <w:rPr>
                <w:rFonts w:eastAsiaTheme="minorEastAsia"/>
                <w:sz w:val="18"/>
                <w:szCs w:val="18"/>
                <w:lang w:val="en-GB"/>
              </w:rPr>
              <w:t xml:space="preserve">other </w:t>
            </w:r>
            <w:r w:rsidRPr="00C8240D">
              <w:rPr>
                <w:rFonts w:eastAsiaTheme="minorEastAsia"/>
                <w:sz w:val="18"/>
                <w:szCs w:val="18"/>
                <w:lang w:val="en-GB"/>
              </w:rPr>
              <w:t>companies in the same group, and</w:t>
            </w:r>
          </w:p>
          <w:p w14:paraId="5084DCA6" w14:textId="30BA104D" w:rsidR="00C8240D" w:rsidRPr="006E3F2B" w:rsidRDefault="00C8240D" w:rsidP="00C8240D">
            <w:pPr>
              <w:pStyle w:val="ListParagraph"/>
              <w:numPr>
                <w:ilvl w:val="1"/>
                <w:numId w:val="33"/>
              </w:numPr>
              <w:spacing w:after="120" w:line="240" w:lineRule="auto"/>
              <w:rPr>
                <w:rFonts w:eastAsiaTheme="minorEastAsia"/>
                <w:sz w:val="18"/>
                <w:szCs w:val="18"/>
                <w:lang w:val="en-GB"/>
              </w:rPr>
            </w:pPr>
            <w:r>
              <w:rPr>
                <w:rFonts w:eastAsiaTheme="minorEastAsia"/>
                <w:sz w:val="18"/>
                <w:szCs w:val="18"/>
                <w:lang w:val="en-GB"/>
              </w:rPr>
              <w:t xml:space="preserve">a </w:t>
            </w:r>
            <w:r w:rsidRPr="00C8240D">
              <w:rPr>
                <w:rFonts w:eastAsiaTheme="minorEastAsia"/>
                <w:sz w:val="18"/>
                <w:szCs w:val="18"/>
                <w:lang w:val="en-GB"/>
              </w:rPr>
              <w:t>party with whom a person mentioned in item 1 or 2 must be assumed to be acting in concert in the exercise of rights accruing to the owner of Shares.</w:t>
            </w:r>
          </w:p>
        </w:tc>
      </w:tr>
    </w:tbl>
    <w:p w14:paraId="041CCB3F" w14:textId="77777777" w:rsidR="002C67A3" w:rsidRPr="009F1B17" w:rsidRDefault="002C67A3" w:rsidP="00321F1A">
      <w:pPr>
        <w:rPr>
          <w:sz w:val="18"/>
          <w:lang w:val="en-GB"/>
        </w:rPr>
      </w:pPr>
    </w:p>
    <w:p w14:paraId="2AD6DD7B" w14:textId="56C7FA54" w:rsidR="00CF50B6" w:rsidRDefault="009F1B17" w:rsidP="00E76051">
      <w:pPr>
        <w:pStyle w:val="test"/>
        <w:numPr>
          <w:ilvl w:val="0"/>
          <w:numId w:val="15"/>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Please state the percentage of the Shares that is distributed among the general public, and whether this satisfies the requirements set out in </w:t>
      </w:r>
      <w:r w:rsidRPr="00135F03">
        <w:rPr>
          <w:rFonts w:asciiTheme="minorHAnsi" w:hAnsiTheme="minorHAnsi" w:cstheme="minorHAnsi"/>
          <w:sz w:val="20"/>
          <w:lang w:val="en-GB"/>
        </w:rPr>
        <w:t xml:space="preserve">Rule Book Part II section </w:t>
      </w:r>
      <w:r w:rsidR="00E50ACC"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E50ACC" w:rsidRPr="00135F03">
        <w:rPr>
          <w:rFonts w:asciiTheme="minorHAnsi" w:hAnsiTheme="minorHAnsi" w:cstheme="minorHAnsi"/>
          <w:sz w:val="20"/>
          <w:lang w:val="en-GB"/>
        </w:rPr>
        <w:t>1</w:t>
      </w:r>
      <w:r w:rsidRPr="00135F03">
        <w:rPr>
          <w:rFonts w:asciiTheme="minorHAnsi" w:hAnsiTheme="minorHAnsi" w:cstheme="minorHAnsi"/>
          <w:sz w:val="20"/>
          <w:lang w:val="en-GB"/>
        </w:rPr>
        <w:t>.5.2.</w:t>
      </w:r>
      <w:r w:rsidRPr="00A8106A">
        <w:rPr>
          <w:rFonts w:asciiTheme="minorHAnsi" w:hAnsiTheme="minorHAnsi" w:cstheme="minorHAnsi"/>
          <w:sz w:val="20"/>
          <w:lang w:val="en-GB"/>
        </w:rPr>
        <w:t xml:space="preserve"> </w:t>
      </w:r>
    </w:p>
    <w:p w14:paraId="6E1ED189" w14:textId="7A117E92" w:rsidR="009F1B17" w:rsidRDefault="00CF50B6" w:rsidP="00E76051">
      <w:pPr>
        <w:pStyle w:val="test"/>
        <w:numPr>
          <w:ilvl w:val="0"/>
          <w:numId w:val="15"/>
        </w:numPr>
        <w:spacing w:after="120" w:line="240" w:lineRule="auto"/>
        <w:ind w:left="714" w:hanging="357"/>
        <w:jc w:val="both"/>
        <w:rPr>
          <w:rFonts w:asciiTheme="minorHAnsi" w:hAnsiTheme="minorHAnsi" w:cstheme="minorHAnsi"/>
          <w:sz w:val="20"/>
          <w:lang w:val="en-GB"/>
        </w:rPr>
      </w:pPr>
      <w:r>
        <w:rPr>
          <w:rFonts w:asciiTheme="minorHAnsi" w:hAnsiTheme="minorHAnsi" w:cstheme="minorHAnsi"/>
          <w:sz w:val="20"/>
          <w:lang w:val="en-GB"/>
        </w:rPr>
        <w:t xml:space="preserve">Please </w:t>
      </w:r>
      <w:r w:rsidRPr="00CF50B6">
        <w:rPr>
          <w:rFonts w:asciiTheme="minorHAnsi" w:hAnsiTheme="minorHAnsi" w:cstheme="minorHAnsi"/>
          <w:sz w:val="20"/>
          <w:lang w:val="en-GB"/>
        </w:rPr>
        <w:t xml:space="preserve">provide an </w:t>
      </w:r>
      <w:r w:rsidRPr="00135F03">
        <w:rPr>
          <w:rFonts w:asciiTheme="minorHAnsi" w:hAnsiTheme="minorHAnsi" w:cstheme="minorHAnsi"/>
          <w:sz w:val="20"/>
          <w:lang w:val="en-GB"/>
        </w:rPr>
        <w:t xml:space="preserve">overview of the shareholdings that are not considered to be distributed among the general public as defined in Rule Book Part II section </w:t>
      </w:r>
      <w:r w:rsidR="00E50ACC"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E50ACC" w:rsidRPr="00135F03">
        <w:rPr>
          <w:rFonts w:asciiTheme="minorHAnsi" w:hAnsiTheme="minorHAnsi" w:cstheme="minorHAnsi"/>
          <w:sz w:val="20"/>
          <w:lang w:val="en-GB"/>
        </w:rPr>
        <w:t>1</w:t>
      </w:r>
      <w:r w:rsidRPr="00135F03">
        <w:rPr>
          <w:rFonts w:asciiTheme="minorHAnsi" w:hAnsiTheme="minorHAnsi" w:cstheme="minorHAnsi"/>
          <w:sz w:val="20"/>
          <w:lang w:val="en-GB"/>
        </w:rPr>
        <w:t xml:space="preserve">.5.2 (cf. Notice </w:t>
      </w:r>
      <w:r w:rsidR="00E50ACC" w:rsidRPr="00135F03">
        <w:rPr>
          <w:rFonts w:asciiTheme="minorHAnsi" w:hAnsiTheme="minorHAnsi" w:cstheme="minorHAnsi"/>
          <w:sz w:val="20"/>
          <w:lang w:val="en-GB"/>
        </w:rPr>
        <w:t>2</w:t>
      </w:r>
      <w:r w:rsidRPr="00135F03">
        <w:rPr>
          <w:rFonts w:asciiTheme="minorHAnsi" w:hAnsiTheme="minorHAnsi" w:cstheme="minorHAnsi"/>
          <w:sz w:val="20"/>
          <w:lang w:val="en-GB"/>
        </w:rPr>
        <w:t>.</w:t>
      </w:r>
      <w:r w:rsidR="00E50ACC" w:rsidRPr="00135F03">
        <w:rPr>
          <w:rFonts w:asciiTheme="minorHAnsi" w:hAnsiTheme="minorHAnsi" w:cstheme="minorHAnsi"/>
          <w:sz w:val="20"/>
          <w:lang w:val="en-GB"/>
        </w:rPr>
        <w:t>2</w:t>
      </w:r>
      <w:r w:rsidRPr="00135F03">
        <w:rPr>
          <w:rFonts w:asciiTheme="minorHAnsi" w:hAnsiTheme="minorHAnsi" w:cstheme="minorHAnsi"/>
          <w:sz w:val="20"/>
          <w:lang w:val="en-GB"/>
        </w:rPr>
        <w:t xml:space="preserve"> section 2 (2) item 19).</w:t>
      </w:r>
    </w:p>
    <w:p w14:paraId="0C31A67F" w14:textId="13460BC0" w:rsidR="003B28BB" w:rsidRPr="00E76051" w:rsidRDefault="003B28BB" w:rsidP="00E76051">
      <w:pPr>
        <w:pStyle w:val="ListParagraph"/>
        <w:numPr>
          <w:ilvl w:val="0"/>
          <w:numId w:val="15"/>
        </w:numPr>
        <w:jc w:val="both"/>
        <w:rPr>
          <w:rFonts w:asciiTheme="minorHAnsi" w:hAnsiTheme="minorHAnsi" w:cstheme="minorHAnsi"/>
          <w:sz w:val="20"/>
          <w:lang w:val="en-GB"/>
        </w:rPr>
      </w:pPr>
      <w:bookmarkStart w:id="54" w:name="_Hlk100053679"/>
      <w:r w:rsidRPr="003B28BB">
        <w:rPr>
          <w:rFonts w:asciiTheme="minorHAnsi" w:hAnsiTheme="minorHAnsi" w:cstheme="minorHAnsi"/>
          <w:sz w:val="20"/>
          <w:lang w:val="en-GB"/>
        </w:rPr>
        <w:t xml:space="preserve">Please provide </w:t>
      </w:r>
      <w:r>
        <w:rPr>
          <w:rFonts w:asciiTheme="minorHAnsi" w:hAnsiTheme="minorHAnsi" w:cstheme="minorHAnsi"/>
          <w:sz w:val="20"/>
          <w:szCs w:val="20"/>
          <w:lang w:val="en-GB"/>
        </w:rPr>
        <w:t>i</w:t>
      </w:r>
      <w:r w:rsidRPr="003B28BB">
        <w:rPr>
          <w:rFonts w:asciiTheme="minorHAnsi" w:hAnsiTheme="minorHAnsi" w:cstheme="minorHAnsi"/>
          <w:sz w:val="20"/>
          <w:szCs w:val="20"/>
          <w:lang w:val="en-GB"/>
        </w:rPr>
        <w:t>nformation on</w:t>
      </w:r>
      <w:r w:rsidR="00D450B6">
        <w:rPr>
          <w:rFonts w:asciiTheme="minorHAnsi" w:hAnsiTheme="minorHAnsi" w:cstheme="minorHAnsi"/>
          <w:sz w:val="20"/>
          <w:szCs w:val="20"/>
          <w:lang w:val="en-GB"/>
        </w:rPr>
        <w:t xml:space="preserve"> any</w:t>
      </w:r>
      <w:r w:rsidRPr="003B28BB">
        <w:rPr>
          <w:rFonts w:asciiTheme="minorHAnsi" w:hAnsiTheme="minorHAnsi" w:cstheme="minorHAnsi"/>
          <w:sz w:val="20"/>
          <w:szCs w:val="20"/>
          <w:lang w:val="en-GB"/>
        </w:rPr>
        <w:t xml:space="preserve"> beneficial owner(s)</w:t>
      </w:r>
      <w:r w:rsidR="00D450B6">
        <w:rPr>
          <w:rFonts w:asciiTheme="minorHAnsi" w:hAnsiTheme="minorHAnsi" w:cstheme="minorHAnsi"/>
          <w:sz w:val="20"/>
          <w:szCs w:val="20"/>
          <w:lang w:val="en-GB"/>
        </w:rPr>
        <w:t xml:space="preserve">that </w:t>
      </w:r>
      <w:r w:rsidRPr="003B28BB">
        <w:rPr>
          <w:rFonts w:asciiTheme="minorHAnsi" w:hAnsiTheme="minorHAnsi" w:cstheme="minorHAnsi"/>
          <w:sz w:val="20"/>
          <w:szCs w:val="20"/>
          <w:lang w:val="en-GB"/>
        </w:rPr>
        <w:t>ultimately owns</w:t>
      </w:r>
      <w:r w:rsidR="00D450B6">
        <w:rPr>
          <w:rFonts w:asciiTheme="minorHAnsi" w:hAnsiTheme="minorHAnsi" w:cstheme="minorHAnsi"/>
          <w:sz w:val="20"/>
          <w:szCs w:val="20"/>
          <w:lang w:val="en-GB"/>
        </w:rPr>
        <w:t xml:space="preserve"> or controls</w:t>
      </w:r>
      <w:r w:rsidRPr="003B28BB">
        <w:rPr>
          <w:rFonts w:asciiTheme="minorHAnsi" w:hAnsiTheme="minorHAnsi" w:cstheme="minorHAnsi"/>
          <w:sz w:val="20"/>
          <w:szCs w:val="20"/>
          <w:lang w:val="en-GB"/>
        </w:rPr>
        <w:t xml:space="preserve"> more than 25% of the issuer</w:t>
      </w:r>
      <w:r w:rsidR="00A23036">
        <w:rPr>
          <w:rFonts w:asciiTheme="minorHAnsi" w:hAnsiTheme="minorHAnsi" w:cstheme="minorHAnsi"/>
          <w:sz w:val="20"/>
          <w:szCs w:val="20"/>
          <w:lang w:val="en-GB"/>
        </w:rPr>
        <w:t xml:space="preserve"> (cf. Notice 2.2 section 2 (2) item 20).</w:t>
      </w:r>
    </w:p>
    <w:bookmarkEnd w:id="54"/>
    <w:p w14:paraId="74CB27A5" w14:textId="7C167D2C" w:rsidR="002C67A3" w:rsidRPr="00B01492" w:rsidRDefault="009F1B17" w:rsidP="00E76051">
      <w:pPr>
        <w:pStyle w:val="test"/>
        <w:numPr>
          <w:ilvl w:val="0"/>
          <w:numId w:val="15"/>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If any capital increases, distribution sales or other transactions are to be carried out in connection with admission to trading in order for the admission requirements to be satisfied, please provide a detailed account, ref. also section 1.3.3.3 below. Please also provide information on any intention by any larger shareholder or shareholders to reduce their holdings in connection with the admission to trading, including information on the procedures that will apply to such sales. Information must also be provided on whether shareholders involved in such sales are subject to any lock-up agreements for a given period following the sale of the Shares (</w:t>
      </w:r>
      <w:r w:rsidR="003C401C">
        <w:rPr>
          <w:rFonts w:asciiTheme="minorHAnsi" w:hAnsiTheme="minorHAnsi" w:cstheme="minorHAnsi"/>
          <w:sz w:val="20"/>
          <w:lang w:val="en-GB"/>
        </w:rPr>
        <w:t>c</w:t>
      </w:r>
      <w:r w:rsidR="003C401C" w:rsidRPr="00A8106A">
        <w:rPr>
          <w:rFonts w:asciiTheme="minorHAnsi" w:hAnsiTheme="minorHAnsi" w:cstheme="minorHAnsi"/>
          <w:sz w:val="20"/>
          <w:lang w:val="en-GB"/>
        </w:rPr>
        <w:t>f</w:t>
      </w:r>
      <w:r w:rsidRPr="00A8106A">
        <w:rPr>
          <w:rFonts w:asciiTheme="minorHAnsi" w:hAnsiTheme="minorHAnsi" w:cstheme="minorHAnsi"/>
          <w:sz w:val="20"/>
          <w:lang w:val="en-GB"/>
        </w:rPr>
        <w:t xml:space="preserve">. </w:t>
      </w:r>
      <w:r w:rsidRPr="00F371D7">
        <w:rPr>
          <w:rFonts w:asciiTheme="minorHAnsi" w:hAnsiTheme="minorHAnsi" w:cstheme="minorHAnsi"/>
          <w:sz w:val="20"/>
          <w:lang w:val="en-GB"/>
        </w:rPr>
        <w:t xml:space="preserve">Notice </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16).</w:t>
      </w:r>
    </w:p>
    <w:p w14:paraId="30BCE166" w14:textId="6D5590E3" w:rsidR="0090231C" w:rsidRPr="00B01492" w:rsidRDefault="009F1B17" w:rsidP="006636AB">
      <w:pPr>
        <w:pStyle w:val="Heading4"/>
        <w:rPr>
          <w:b w:val="0"/>
        </w:rPr>
      </w:pPr>
      <w:r w:rsidRPr="00B01492">
        <w:rPr>
          <w:b w:val="0"/>
        </w:rPr>
        <w:t>Share issue prior to admission to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90231C" w:rsidRPr="00706E66" w14:paraId="702E4BC2" w14:textId="77777777" w:rsidTr="001549E1">
        <w:tc>
          <w:tcPr>
            <w:tcW w:w="9212" w:type="dxa"/>
            <w:shd w:val="clear" w:color="auto" w:fill="F3F3F3"/>
          </w:tcPr>
          <w:p w14:paraId="4E5E96AC" w14:textId="1D29E25B" w:rsidR="009F1B17" w:rsidRPr="004F41A4" w:rsidRDefault="009F1B17" w:rsidP="004F41A4">
            <w:pPr>
              <w:spacing w:after="120"/>
              <w:rPr>
                <w:b/>
                <w:sz w:val="18"/>
                <w:szCs w:val="20"/>
                <w:lang w:val="en-GB"/>
              </w:rPr>
            </w:pPr>
            <w:r w:rsidRPr="00F371D7">
              <w:rPr>
                <w:b/>
                <w:sz w:val="18"/>
                <w:szCs w:val="20"/>
                <w:lang w:val="en-GB"/>
              </w:rPr>
              <w:t xml:space="preserve">RULE BOOK PART II SECTION </w:t>
            </w:r>
            <w:r w:rsidR="00E50ACC" w:rsidRPr="00F371D7">
              <w:rPr>
                <w:b/>
                <w:sz w:val="18"/>
                <w:szCs w:val="20"/>
                <w:lang w:val="en-GB"/>
              </w:rPr>
              <w:t>2</w:t>
            </w:r>
            <w:r w:rsidRPr="00F371D7">
              <w:rPr>
                <w:b/>
                <w:sz w:val="18"/>
                <w:szCs w:val="20"/>
                <w:lang w:val="en-GB"/>
              </w:rPr>
              <w:t>.</w:t>
            </w:r>
            <w:r w:rsidR="00E50ACC" w:rsidRPr="00F371D7">
              <w:rPr>
                <w:b/>
                <w:sz w:val="18"/>
                <w:szCs w:val="20"/>
                <w:lang w:val="en-GB"/>
              </w:rPr>
              <w:t>1</w:t>
            </w:r>
            <w:r w:rsidRPr="00F371D7">
              <w:rPr>
                <w:b/>
                <w:sz w:val="18"/>
                <w:szCs w:val="20"/>
                <w:lang w:val="en-GB"/>
              </w:rPr>
              <w:t>.6.1</w:t>
            </w:r>
          </w:p>
          <w:p w14:paraId="603CD25D" w14:textId="6D91B01C" w:rsidR="0012549D" w:rsidRDefault="0012549D" w:rsidP="004F41A4">
            <w:pPr>
              <w:pStyle w:val="ListParagraph"/>
              <w:numPr>
                <w:ilvl w:val="0"/>
                <w:numId w:val="34"/>
              </w:numPr>
              <w:spacing w:after="120" w:line="240" w:lineRule="auto"/>
              <w:rPr>
                <w:rFonts w:eastAsiaTheme="minorEastAsia"/>
                <w:sz w:val="18"/>
                <w:szCs w:val="18"/>
                <w:lang w:val="en-GB"/>
              </w:rPr>
            </w:pPr>
            <w:r>
              <w:rPr>
                <w:rFonts w:eastAsiaTheme="minorEastAsia"/>
                <w:sz w:val="18"/>
                <w:szCs w:val="18"/>
                <w:lang w:val="en-GB"/>
              </w:rPr>
              <w:t xml:space="preserve">If a Public Offer takes place </w:t>
            </w:r>
            <w:r w:rsidRPr="0012549D">
              <w:rPr>
                <w:rFonts w:eastAsiaTheme="minorEastAsia"/>
                <w:sz w:val="18"/>
                <w:szCs w:val="18"/>
                <w:lang w:val="en-GB"/>
              </w:rPr>
              <w:t xml:space="preserve">prior to admission to trading, the subscription period must end before the first </w:t>
            </w:r>
            <w:r w:rsidR="00C26C36">
              <w:rPr>
                <w:rFonts w:eastAsiaTheme="minorEastAsia"/>
                <w:sz w:val="18"/>
                <w:szCs w:val="18"/>
                <w:lang w:val="en-GB"/>
              </w:rPr>
              <w:t xml:space="preserve">day of </w:t>
            </w:r>
            <w:proofErr w:type="spellStart"/>
            <w:r w:rsidR="00C26C36">
              <w:rPr>
                <w:rFonts w:eastAsiaTheme="minorEastAsia"/>
                <w:sz w:val="18"/>
                <w:szCs w:val="18"/>
                <w:lang w:val="en-GB"/>
              </w:rPr>
              <w:t>admissio</w:t>
            </w:r>
            <w:proofErr w:type="spellEnd"/>
            <w:r w:rsidR="00C26C36">
              <w:rPr>
                <w:rFonts w:eastAsiaTheme="minorEastAsia"/>
                <w:sz w:val="18"/>
                <w:szCs w:val="18"/>
                <w:lang w:val="en-GB"/>
              </w:rPr>
              <w:t xml:space="preserve"> to trading</w:t>
            </w:r>
            <w:r w:rsidRPr="0012549D">
              <w:rPr>
                <w:rFonts w:eastAsiaTheme="minorEastAsia"/>
                <w:sz w:val="18"/>
                <w:szCs w:val="18"/>
                <w:lang w:val="en-GB"/>
              </w:rPr>
              <w:t xml:space="preserve">, cf. Rule 3.7.4 of Rule Book Part I. Any new Share issues carried out in connection with or parallel to the admission to trading must be registered with the Norwegian Register of Business Enterprises and entered into the central securities depository within the same period.  </w:t>
            </w:r>
          </w:p>
          <w:p w14:paraId="78C90390" w14:textId="77777777" w:rsidR="004F41A4" w:rsidRDefault="004F41A4" w:rsidP="004F41A4">
            <w:pPr>
              <w:pStyle w:val="ListParagraph"/>
              <w:numPr>
                <w:ilvl w:val="0"/>
                <w:numId w:val="34"/>
              </w:numPr>
              <w:spacing w:after="120" w:line="240" w:lineRule="auto"/>
              <w:rPr>
                <w:rFonts w:eastAsiaTheme="minorEastAsia"/>
                <w:sz w:val="18"/>
                <w:szCs w:val="18"/>
                <w:lang w:val="en-GB"/>
              </w:rPr>
            </w:pPr>
            <w:r>
              <w:rPr>
                <w:rFonts w:eastAsiaTheme="minorEastAsia"/>
                <w:sz w:val="18"/>
                <w:szCs w:val="18"/>
                <w:lang w:val="en-GB"/>
              </w:rPr>
              <w:t xml:space="preserve">Oslo </w:t>
            </w:r>
            <w:r w:rsidRPr="004F41A4">
              <w:rPr>
                <w:rFonts w:eastAsiaTheme="minorEastAsia"/>
                <w:sz w:val="18"/>
                <w:szCs w:val="18"/>
                <w:lang w:val="en-GB"/>
              </w:rPr>
              <w:t>Børs may at the request of the Issuer in special circumstances grant an exemption from the provisions of the first paragraph if the new issue is not necessary to satisfy the requirements for admission to trading.</w:t>
            </w:r>
          </w:p>
          <w:p w14:paraId="48B55943" w14:textId="45805840" w:rsidR="004F41A4" w:rsidRPr="0012549D" w:rsidRDefault="004F41A4" w:rsidP="004F41A4">
            <w:pPr>
              <w:pStyle w:val="ListParagraph"/>
              <w:numPr>
                <w:ilvl w:val="0"/>
                <w:numId w:val="34"/>
              </w:numPr>
              <w:spacing w:after="120" w:line="240" w:lineRule="auto"/>
              <w:rPr>
                <w:rFonts w:eastAsiaTheme="minorEastAsia"/>
                <w:sz w:val="18"/>
                <w:szCs w:val="18"/>
                <w:lang w:val="en-GB"/>
              </w:rPr>
            </w:pPr>
            <w:r>
              <w:rPr>
                <w:rFonts w:eastAsiaTheme="minorEastAsia"/>
                <w:sz w:val="18"/>
                <w:szCs w:val="18"/>
                <w:lang w:val="en-GB"/>
              </w:rPr>
              <w:t xml:space="preserve">Documentation </w:t>
            </w:r>
            <w:r w:rsidRPr="004F41A4">
              <w:rPr>
                <w:rFonts w:eastAsiaTheme="minorEastAsia"/>
                <w:sz w:val="18"/>
                <w:szCs w:val="18"/>
                <w:lang w:val="en-GB"/>
              </w:rPr>
              <w:t xml:space="preserve">to be submitted related to Share issue prior to admission to trading in general and for foreign Issuers, is set out in a separate Notice referred to in section </w:t>
            </w:r>
            <w:r w:rsidR="00E50ACC">
              <w:rPr>
                <w:rFonts w:eastAsiaTheme="minorEastAsia"/>
                <w:sz w:val="18"/>
                <w:szCs w:val="18"/>
                <w:lang w:val="en-GB"/>
              </w:rPr>
              <w:t>2</w:t>
            </w:r>
            <w:r w:rsidRPr="004F41A4">
              <w:rPr>
                <w:rFonts w:eastAsiaTheme="minorEastAsia"/>
                <w:sz w:val="18"/>
                <w:szCs w:val="18"/>
                <w:lang w:val="en-GB"/>
              </w:rPr>
              <w:t>.</w:t>
            </w:r>
            <w:r w:rsidR="00E50ACC">
              <w:rPr>
                <w:rFonts w:eastAsiaTheme="minorEastAsia"/>
                <w:sz w:val="18"/>
                <w:szCs w:val="18"/>
                <w:lang w:val="en-GB"/>
              </w:rPr>
              <w:t>2.</w:t>
            </w:r>
          </w:p>
        </w:tc>
      </w:tr>
    </w:tbl>
    <w:p w14:paraId="3B1D4B50" w14:textId="77777777" w:rsidR="006661CD" w:rsidRDefault="006661CD" w:rsidP="00487D53">
      <w:pPr>
        <w:rPr>
          <w:sz w:val="20"/>
          <w:lang w:val="en-GB"/>
        </w:rPr>
      </w:pPr>
    </w:p>
    <w:p w14:paraId="17C0BDA7" w14:textId="61410C31" w:rsidR="009F1B17" w:rsidRDefault="009F1B17" w:rsidP="00E76051">
      <w:pPr>
        <w:pStyle w:val="test"/>
        <w:numPr>
          <w:ilvl w:val="0"/>
          <w:numId w:val="16"/>
        </w:numPr>
        <w:spacing w:after="120" w:line="240" w:lineRule="auto"/>
        <w:ind w:left="714" w:hanging="357"/>
        <w:jc w:val="both"/>
        <w:rPr>
          <w:rFonts w:asciiTheme="minorHAnsi" w:hAnsiTheme="minorHAnsi" w:cstheme="minorHAnsi"/>
          <w:sz w:val="20"/>
          <w:lang w:val="en-GB"/>
        </w:rPr>
      </w:pPr>
      <w:r w:rsidRPr="004702B7">
        <w:rPr>
          <w:rFonts w:asciiTheme="minorHAnsi" w:hAnsiTheme="minorHAnsi" w:cstheme="minorHAnsi"/>
          <w:sz w:val="20"/>
          <w:lang w:val="en-GB"/>
        </w:rPr>
        <w:t>Please state the planned size of any public issue, distribution sale or other transaction prior to admission to trading</w:t>
      </w:r>
      <w:r w:rsidR="00F1581F" w:rsidRPr="004702B7">
        <w:rPr>
          <w:rFonts w:asciiTheme="minorHAnsi" w:hAnsiTheme="minorHAnsi" w:cstheme="minorHAnsi"/>
          <w:sz w:val="20"/>
          <w:lang w:val="en-GB"/>
        </w:rPr>
        <w:t xml:space="preserve">, </w:t>
      </w:r>
      <w:bookmarkStart w:id="55" w:name="_Hlk55894836"/>
      <w:r w:rsidR="00F1581F" w:rsidRPr="004702B7">
        <w:rPr>
          <w:rFonts w:asciiTheme="minorHAnsi" w:hAnsiTheme="minorHAnsi" w:cstheme="minorHAnsi"/>
          <w:sz w:val="20"/>
          <w:lang w:val="en-GB"/>
        </w:rPr>
        <w:t>including the planned timetable with respect to settlement, registration of new Share capital, registration in the central securities depository and when the Shares will be tradable for the relevant investor</w:t>
      </w:r>
      <w:r w:rsidRPr="004702B7">
        <w:rPr>
          <w:rFonts w:asciiTheme="minorHAnsi" w:hAnsiTheme="minorHAnsi" w:cstheme="minorHAnsi"/>
          <w:sz w:val="20"/>
          <w:lang w:val="en-GB"/>
        </w:rPr>
        <w:t>.</w:t>
      </w:r>
      <w:bookmarkEnd w:id="55"/>
    </w:p>
    <w:p w14:paraId="177DA445" w14:textId="1FE6456F" w:rsidR="00B550C4" w:rsidRPr="00B550C4" w:rsidRDefault="00B550C4" w:rsidP="00E76051">
      <w:pPr>
        <w:pStyle w:val="ListParagraph"/>
        <w:numPr>
          <w:ilvl w:val="0"/>
          <w:numId w:val="16"/>
        </w:numPr>
        <w:spacing w:after="120" w:line="240" w:lineRule="auto"/>
        <w:jc w:val="both"/>
        <w:rPr>
          <w:rFonts w:asciiTheme="minorHAnsi" w:hAnsiTheme="minorHAnsi" w:cstheme="minorHAnsi"/>
          <w:sz w:val="20"/>
          <w:szCs w:val="20"/>
          <w:lang w:val="en-GB"/>
        </w:rPr>
      </w:pPr>
      <w:r w:rsidRPr="00B550C4">
        <w:rPr>
          <w:rFonts w:asciiTheme="minorHAnsi" w:hAnsiTheme="minorHAnsi" w:cstheme="minorHAnsi"/>
          <w:sz w:val="20"/>
          <w:lang w:val="en-GB"/>
        </w:rPr>
        <w:t xml:space="preserve">Please </w:t>
      </w:r>
      <w:r w:rsidRPr="00B550C4">
        <w:rPr>
          <w:rFonts w:asciiTheme="minorHAnsi" w:hAnsiTheme="minorHAnsi" w:cstheme="minorHAnsi"/>
          <w:sz w:val="20"/>
          <w:szCs w:val="20"/>
          <w:lang w:val="en-GB"/>
        </w:rPr>
        <w:t>specify estimated amounts of proceeds, if such Share issue is intended. (If such details cannot be provided at this point, state this).</w:t>
      </w:r>
    </w:p>
    <w:p w14:paraId="7285F2CE" w14:textId="22DA41E2" w:rsidR="009F1B17" w:rsidRPr="00B01492" w:rsidRDefault="009F1B17" w:rsidP="00E76051">
      <w:pPr>
        <w:pStyle w:val="test"/>
        <w:numPr>
          <w:ilvl w:val="0"/>
          <w:numId w:val="16"/>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lastRenderedPageBreak/>
        <w:t xml:space="preserve">Please provide </w:t>
      </w:r>
      <w:r w:rsidRPr="00F371D7">
        <w:rPr>
          <w:rFonts w:asciiTheme="minorHAnsi" w:hAnsiTheme="minorHAnsi" w:cstheme="minorHAnsi"/>
          <w:sz w:val="20"/>
          <w:lang w:val="en-GB"/>
        </w:rPr>
        <w:t xml:space="preserve">information on any plans for price stabilization measures in connection with the admission to trading </w:t>
      </w:r>
      <w:r w:rsidRPr="00F371D7">
        <w:rPr>
          <w:sz w:val="20"/>
          <w:lang w:val="en-GB"/>
        </w:rPr>
        <w:t xml:space="preserve">(cf. </w:t>
      </w:r>
      <w:r w:rsidRPr="00F371D7">
        <w:rPr>
          <w:rFonts w:asciiTheme="minorHAnsi" w:hAnsiTheme="minorHAnsi" w:cstheme="minorHAnsi"/>
          <w:sz w:val="20"/>
          <w:lang w:val="en-GB"/>
        </w:rPr>
        <w:t xml:space="preserve">Notice </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17</w:t>
      </w:r>
      <w:r w:rsidRPr="00F371D7">
        <w:rPr>
          <w:sz w:val="20"/>
          <w:lang w:val="en-GB"/>
        </w:rPr>
        <w:t>)</w:t>
      </w:r>
      <w:r w:rsidRPr="00F371D7">
        <w:rPr>
          <w:rFonts w:asciiTheme="minorHAnsi" w:hAnsiTheme="minorHAnsi" w:cstheme="minorHAnsi"/>
          <w:sz w:val="20"/>
          <w:lang w:val="en-GB"/>
        </w:rPr>
        <w:t>.</w:t>
      </w:r>
      <w:r w:rsidRPr="00A8106A">
        <w:rPr>
          <w:rFonts w:asciiTheme="minorHAnsi" w:hAnsiTheme="minorHAnsi" w:cstheme="minorHAnsi"/>
          <w:sz w:val="20"/>
          <w:lang w:val="en-GB"/>
        </w:rPr>
        <w:t xml:space="preserve"> </w:t>
      </w:r>
    </w:p>
    <w:p w14:paraId="5F17DD88" w14:textId="039DB027" w:rsidR="00664DDF" w:rsidRPr="00B01492" w:rsidRDefault="009F1B17" w:rsidP="0090231C">
      <w:pPr>
        <w:pStyle w:val="Heading4"/>
        <w:rPr>
          <w:b w:val="0"/>
        </w:rPr>
      </w:pPr>
      <w:r w:rsidRPr="00B01492">
        <w:rPr>
          <w:b w:val="0"/>
        </w:rPr>
        <w:t>Number of shareholders</w:t>
      </w:r>
    </w:p>
    <w:tbl>
      <w:tblPr>
        <w:tblStyle w:val="TableGrid"/>
        <w:tblW w:w="0" w:type="auto"/>
        <w:tblLook w:val="04A0" w:firstRow="1" w:lastRow="0" w:firstColumn="1" w:lastColumn="0" w:noHBand="0" w:noVBand="1"/>
      </w:tblPr>
      <w:tblGrid>
        <w:gridCol w:w="9060"/>
      </w:tblGrid>
      <w:tr w:rsidR="009F1B17" w:rsidRPr="00706E66" w14:paraId="7AD9318D" w14:textId="77777777" w:rsidTr="009F1B17">
        <w:tc>
          <w:tcPr>
            <w:tcW w:w="9060" w:type="dxa"/>
            <w:shd w:val="clear" w:color="auto" w:fill="F2F2F2" w:themeFill="background1" w:themeFillShade="F2"/>
          </w:tcPr>
          <w:p w14:paraId="67296EFF" w14:textId="2839F5E9" w:rsidR="009F1B17" w:rsidRPr="004F41A4" w:rsidRDefault="009F1B17" w:rsidP="004F41A4">
            <w:pPr>
              <w:spacing w:after="120"/>
              <w:rPr>
                <w:b/>
                <w:sz w:val="18"/>
                <w:szCs w:val="18"/>
                <w:lang w:val="en-GB"/>
              </w:rPr>
            </w:pPr>
            <w:r w:rsidRPr="00F371D7">
              <w:rPr>
                <w:b/>
                <w:sz w:val="18"/>
                <w:szCs w:val="18"/>
                <w:lang w:val="en-GB"/>
              </w:rPr>
              <w:t xml:space="preserve">RULE BOOK PART II SECTION </w:t>
            </w:r>
            <w:r w:rsidR="00E50ACC" w:rsidRPr="00F371D7">
              <w:rPr>
                <w:b/>
                <w:sz w:val="18"/>
                <w:szCs w:val="18"/>
                <w:lang w:val="en-GB"/>
              </w:rPr>
              <w:t>2</w:t>
            </w:r>
            <w:r w:rsidRPr="00F371D7">
              <w:rPr>
                <w:b/>
                <w:sz w:val="18"/>
                <w:szCs w:val="18"/>
                <w:lang w:val="en-GB"/>
              </w:rPr>
              <w:t>.</w:t>
            </w:r>
            <w:r w:rsidR="00E50ACC" w:rsidRPr="00F371D7">
              <w:rPr>
                <w:b/>
                <w:sz w:val="18"/>
                <w:szCs w:val="18"/>
                <w:lang w:val="en-GB"/>
              </w:rPr>
              <w:t>1</w:t>
            </w:r>
            <w:r w:rsidRPr="00F371D7">
              <w:rPr>
                <w:b/>
                <w:sz w:val="18"/>
                <w:szCs w:val="18"/>
                <w:lang w:val="en-GB"/>
              </w:rPr>
              <w:t>.5.3</w:t>
            </w:r>
          </w:p>
          <w:p w14:paraId="6AC35EBA" w14:textId="77777777" w:rsidR="004F41A4" w:rsidRPr="004F41A4" w:rsidRDefault="004F41A4" w:rsidP="004F41A4">
            <w:pPr>
              <w:pStyle w:val="ListParagraph"/>
              <w:numPr>
                <w:ilvl w:val="0"/>
                <w:numId w:val="35"/>
              </w:numPr>
              <w:spacing w:after="120" w:line="240" w:lineRule="auto"/>
              <w:rPr>
                <w:sz w:val="18"/>
                <w:szCs w:val="18"/>
                <w:lang w:val="en-GB"/>
              </w:rPr>
            </w:pPr>
            <w:r w:rsidRPr="004F41A4">
              <w:rPr>
                <w:sz w:val="18"/>
                <w:szCs w:val="18"/>
                <w:lang w:val="en-GB"/>
              </w:rPr>
              <w:t>The Shares for which admission to trading on Euronext Growth Oslo is sought must be held by at least 30 shareholders, each holding Shares with a value of at least NOK 5,000 at the time of admission to trading. In case of doubt, Oslo Børs determines whether the requirement set out in the first sentence is satisfied.</w:t>
            </w:r>
          </w:p>
          <w:p w14:paraId="3167EC18" w14:textId="2B3312AE" w:rsidR="004F41A4" w:rsidRPr="004F41A4" w:rsidRDefault="004F41A4" w:rsidP="004F41A4">
            <w:pPr>
              <w:pStyle w:val="ListParagraph"/>
              <w:numPr>
                <w:ilvl w:val="0"/>
                <w:numId w:val="35"/>
              </w:numPr>
              <w:spacing w:after="120" w:line="240" w:lineRule="auto"/>
              <w:rPr>
                <w:sz w:val="20"/>
                <w:lang w:val="en-GB"/>
              </w:rPr>
            </w:pPr>
            <w:r w:rsidRPr="004F41A4">
              <w:rPr>
                <w:sz w:val="18"/>
                <w:szCs w:val="18"/>
                <w:lang w:val="en-GB"/>
              </w:rPr>
              <w:t xml:space="preserve">Shareholders that are associated with the Issuer, cf. section </w:t>
            </w:r>
            <w:r w:rsidR="00E50ACC">
              <w:rPr>
                <w:sz w:val="18"/>
                <w:szCs w:val="18"/>
                <w:lang w:val="en-GB"/>
              </w:rPr>
              <w:t>2</w:t>
            </w:r>
            <w:r w:rsidRPr="004F41A4">
              <w:rPr>
                <w:sz w:val="18"/>
                <w:szCs w:val="18"/>
                <w:lang w:val="en-GB"/>
              </w:rPr>
              <w:t>.</w:t>
            </w:r>
            <w:r w:rsidR="00E50ACC">
              <w:rPr>
                <w:sz w:val="18"/>
                <w:szCs w:val="18"/>
                <w:lang w:val="en-GB"/>
              </w:rPr>
              <w:t>1</w:t>
            </w:r>
            <w:r w:rsidRPr="004F41A4">
              <w:rPr>
                <w:sz w:val="18"/>
                <w:szCs w:val="18"/>
                <w:lang w:val="en-GB"/>
              </w:rPr>
              <w:t>.5.2 (4), cannot be included in the calculation of number of shareholders as stipulated in the first paragraph.</w:t>
            </w:r>
          </w:p>
        </w:tc>
      </w:tr>
    </w:tbl>
    <w:p w14:paraId="3F44F5A7" w14:textId="77777777" w:rsidR="009F1B17" w:rsidRDefault="009F1B17" w:rsidP="0090231C">
      <w:pPr>
        <w:rPr>
          <w:sz w:val="20"/>
          <w:lang w:val="en-GB"/>
        </w:rPr>
      </w:pPr>
    </w:p>
    <w:p w14:paraId="1CEB6DC5" w14:textId="7FD6A7FE" w:rsidR="009F1B17" w:rsidRPr="00A8106A" w:rsidRDefault="009F1B17" w:rsidP="00E76051">
      <w:pPr>
        <w:pStyle w:val="test"/>
        <w:numPr>
          <w:ilvl w:val="0"/>
          <w:numId w:val="15"/>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Please state the </w:t>
      </w:r>
      <w:r w:rsidR="003C401C">
        <w:rPr>
          <w:rFonts w:asciiTheme="minorHAnsi" w:hAnsiTheme="minorHAnsi" w:cstheme="minorHAnsi"/>
          <w:sz w:val="20"/>
          <w:lang w:val="en-GB"/>
        </w:rPr>
        <w:t xml:space="preserve">total </w:t>
      </w:r>
      <w:r w:rsidRPr="00A8106A">
        <w:rPr>
          <w:rFonts w:asciiTheme="minorHAnsi" w:hAnsiTheme="minorHAnsi" w:cstheme="minorHAnsi"/>
          <w:sz w:val="20"/>
          <w:lang w:val="en-GB"/>
        </w:rPr>
        <w:t xml:space="preserve">number of shareholders, and also the number of shareholders who each hold Shares equal to a value of NOK 5,000 or more. </w:t>
      </w:r>
    </w:p>
    <w:p w14:paraId="0EDEE7C6" w14:textId="555A43F6" w:rsidR="009F1B17" w:rsidRPr="00A8106A" w:rsidRDefault="009F1B17" w:rsidP="00E76051">
      <w:pPr>
        <w:pStyle w:val="test"/>
        <w:numPr>
          <w:ilvl w:val="0"/>
          <w:numId w:val="15"/>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Please provide the same number reduced by the shareholders that are associated with the Issuer (shareholders that </w:t>
      </w:r>
      <w:r w:rsidRPr="00F371D7">
        <w:rPr>
          <w:rFonts w:asciiTheme="minorHAnsi" w:hAnsiTheme="minorHAnsi" w:cstheme="minorHAnsi"/>
          <w:sz w:val="20"/>
          <w:lang w:val="en-GB"/>
        </w:rPr>
        <w:t xml:space="preserve">cannot be included) as defined in Rule Book Part II section </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E50ACC" w:rsidRPr="00F371D7">
        <w:rPr>
          <w:rFonts w:asciiTheme="minorHAnsi" w:hAnsiTheme="minorHAnsi" w:cstheme="minorHAnsi"/>
          <w:sz w:val="20"/>
          <w:lang w:val="en-GB"/>
        </w:rPr>
        <w:t>1</w:t>
      </w:r>
      <w:r w:rsidRPr="00F371D7">
        <w:rPr>
          <w:rFonts w:asciiTheme="minorHAnsi" w:hAnsiTheme="minorHAnsi" w:cstheme="minorHAnsi"/>
          <w:sz w:val="20"/>
          <w:lang w:val="en-GB"/>
        </w:rPr>
        <w:t>.5.2 (4)</w:t>
      </w:r>
      <w:r w:rsidR="000644F8" w:rsidRPr="00F371D7">
        <w:rPr>
          <w:rFonts w:asciiTheme="minorHAnsi" w:hAnsiTheme="minorHAnsi" w:cstheme="minorHAnsi"/>
          <w:sz w:val="20"/>
          <w:lang w:val="en-GB"/>
        </w:rPr>
        <w:t xml:space="preserve"> (cf. Notice </w:t>
      </w:r>
      <w:r w:rsidR="00E50ACC" w:rsidRPr="00F371D7">
        <w:rPr>
          <w:rFonts w:asciiTheme="minorHAnsi" w:hAnsiTheme="minorHAnsi" w:cstheme="minorHAnsi"/>
          <w:sz w:val="20"/>
          <w:lang w:val="en-GB"/>
        </w:rPr>
        <w:t>2</w:t>
      </w:r>
      <w:r w:rsidR="000644F8"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000644F8" w:rsidRPr="00F371D7">
        <w:rPr>
          <w:rFonts w:asciiTheme="minorHAnsi" w:hAnsiTheme="minorHAnsi" w:cstheme="minorHAnsi"/>
          <w:sz w:val="20"/>
          <w:lang w:val="en-GB"/>
        </w:rPr>
        <w:t xml:space="preserve"> section 2 (2) item 19)</w:t>
      </w:r>
      <w:r w:rsidRPr="00F371D7">
        <w:rPr>
          <w:rFonts w:asciiTheme="minorHAnsi" w:hAnsiTheme="minorHAnsi" w:cstheme="minorHAnsi"/>
          <w:sz w:val="20"/>
          <w:lang w:val="en-GB"/>
        </w:rPr>
        <w:t>.</w:t>
      </w:r>
      <w:r w:rsidRPr="00A8106A">
        <w:rPr>
          <w:rFonts w:asciiTheme="minorHAnsi" w:hAnsiTheme="minorHAnsi" w:cstheme="minorHAnsi"/>
          <w:sz w:val="20"/>
          <w:lang w:val="en-GB"/>
        </w:rPr>
        <w:t xml:space="preserve"> </w:t>
      </w:r>
    </w:p>
    <w:p w14:paraId="3D7576DD" w14:textId="64F4553E" w:rsidR="009F1B17" w:rsidRPr="00B01492" w:rsidRDefault="009F1B17" w:rsidP="00E76051">
      <w:pPr>
        <w:pStyle w:val="test"/>
        <w:numPr>
          <w:ilvl w:val="0"/>
          <w:numId w:val="15"/>
        </w:numPr>
        <w:spacing w:after="120" w:line="240" w:lineRule="auto"/>
        <w:ind w:left="714" w:hanging="357"/>
        <w:jc w:val="both"/>
        <w:rPr>
          <w:rFonts w:asciiTheme="minorHAnsi" w:hAnsiTheme="minorHAnsi" w:cstheme="minorHAnsi"/>
          <w:sz w:val="18"/>
          <w:lang w:val="en-GB"/>
        </w:rPr>
      </w:pPr>
      <w:r w:rsidRPr="00A8106A">
        <w:rPr>
          <w:rFonts w:asciiTheme="minorHAnsi" w:hAnsiTheme="minorHAnsi" w:cstheme="minorHAnsi"/>
          <w:sz w:val="20"/>
          <w:lang w:val="en-GB"/>
        </w:rPr>
        <w:t xml:space="preserve">If the requirement is not met, please describe how this will be fulfilled prior to admission to trading. </w:t>
      </w:r>
    </w:p>
    <w:p w14:paraId="69628E5A" w14:textId="1ACB49B9" w:rsidR="009F1B17" w:rsidRPr="00B01492" w:rsidRDefault="009F1B17" w:rsidP="009F1B17">
      <w:pPr>
        <w:pStyle w:val="Heading4"/>
        <w:rPr>
          <w:b w:val="0"/>
        </w:rPr>
      </w:pPr>
      <w:r w:rsidRPr="00B01492">
        <w:rPr>
          <w:b w:val="0"/>
        </w:rPr>
        <w:t>Other requirements regarding Shares</w:t>
      </w:r>
    </w:p>
    <w:p w14:paraId="3120715A" w14:textId="77777777" w:rsidR="009F1B17" w:rsidRPr="009F1B17" w:rsidRDefault="009F1B17" w:rsidP="009F1B17">
      <w:pPr>
        <w:rPr>
          <w:b/>
          <w:sz w:val="20"/>
          <w:lang w:val="en-US"/>
        </w:rPr>
      </w:pPr>
      <w:r w:rsidRPr="009F1B17">
        <w:rPr>
          <w:b/>
          <w:sz w:val="20"/>
          <w:lang w:val="en-US"/>
        </w:rPr>
        <w:t>Shares in the same Share class / Admission of multiple classes of Shares</w:t>
      </w:r>
    </w:p>
    <w:p w14:paraId="23A5F7CE" w14:textId="77777777" w:rsidR="009F1B17" w:rsidRPr="009F1B17" w:rsidRDefault="009F1B17" w:rsidP="009F1B17">
      <w:pPr>
        <w:rPr>
          <w:lang w:val="en-US" w:eastAsia="nb-NO"/>
        </w:rPr>
      </w:pPr>
    </w:p>
    <w:tbl>
      <w:tblPr>
        <w:tblStyle w:val="TableGrid"/>
        <w:tblW w:w="0" w:type="auto"/>
        <w:tblLook w:val="04A0" w:firstRow="1" w:lastRow="0" w:firstColumn="1" w:lastColumn="0" w:noHBand="0" w:noVBand="1"/>
      </w:tblPr>
      <w:tblGrid>
        <w:gridCol w:w="9060"/>
      </w:tblGrid>
      <w:tr w:rsidR="009F1B17" w:rsidRPr="00706E66" w14:paraId="5837FC18" w14:textId="77777777" w:rsidTr="009F1B17">
        <w:tc>
          <w:tcPr>
            <w:tcW w:w="9060" w:type="dxa"/>
            <w:shd w:val="clear" w:color="auto" w:fill="F2F2F2" w:themeFill="background1" w:themeFillShade="F2"/>
          </w:tcPr>
          <w:p w14:paraId="76CF0BE4" w14:textId="77777777" w:rsidR="009F1B17" w:rsidRPr="00F371D7" w:rsidRDefault="009F1B17" w:rsidP="004D68F5">
            <w:pPr>
              <w:spacing w:after="120"/>
              <w:rPr>
                <w:b/>
                <w:sz w:val="18"/>
                <w:szCs w:val="20"/>
                <w:lang w:val="en-GB"/>
              </w:rPr>
            </w:pPr>
            <w:r w:rsidRPr="00F371D7">
              <w:rPr>
                <w:b/>
                <w:sz w:val="18"/>
                <w:szCs w:val="20"/>
                <w:lang w:val="en-GB"/>
              </w:rPr>
              <w:t>RULE BOOK PART I RULE 3.1.11</w:t>
            </w:r>
          </w:p>
          <w:p w14:paraId="6100011F" w14:textId="1019D291" w:rsidR="009F1B17" w:rsidRPr="00F371D7" w:rsidRDefault="004D68F5" w:rsidP="004D68F5">
            <w:pPr>
              <w:spacing w:after="120"/>
              <w:rPr>
                <w:sz w:val="18"/>
                <w:szCs w:val="18"/>
                <w:lang w:val="en-US" w:eastAsia="nb-NO"/>
              </w:rPr>
            </w:pPr>
            <w:r w:rsidRPr="00F371D7">
              <w:rPr>
                <w:sz w:val="18"/>
                <w:szCs w:val="18"/>
                <w:lang w:val="en-US" w:eastAsia="nb-NO"/>
              </w:rPr>
              <w:t>The Issuer shall apply for admission to trading of all its Securities of the same class issued at the time of the application or proposed to be issued. If the Issuer has more than one class of Security in accordance with applicable laws and regulations, the criteria for admission to trading must be satisfied for each class of Security for which admission to trading is sought, unless agreed otherwise by the Relevant Euronext Market Undertaking.</w:t>
            </w:r>
          </w:p>
        </w:tc>
      </w:tr>
    </w:tbl>
    <w:p w14:paraId="03D7FF66" w14:textId="77777777" w:rsidR="009F1B17" w:rsidRPr="00F371D7" w:rsidRDefault="009F1B17" w:rsidP="009F1B17">
      <w:pPr>
        <w:rPr>
          <w:sz w:val="20"/>
          <w:lang w:val="en-GB" w:eastAsia="nb-NO"/>
        </w:rPr>
      </w:pPr>
    </w:p>
    <w:p w14:paraId="63589F5A" w14:textId="11265A82" w:rsidR="009F1B17" w:rsidRPr="00F371D7" w:rsidRDefault="009F1B17" w:rsidP="00E76051">
      <w:pPr>
        <w:pStyle w:val="test"/>
        <w:numPr>
          <w:ilvl w:val="0"/>
          <w:numId w:val="17"/>
        </w:numPr>
        <w:spacing w:after="120" w:line="240" w:lineRule="auto"/>
        <w:jc w:val="both"/>
        <w:rPr>
          <w:rFonts w:asciiTheme="minorHAnsi" w:hAnsiTheme="minorHAnsi" w:cstheme="minorHAnsi"/>
          <w:sz w:val="20"/>
          <w:lang w:val="en-GB"/>
        </w:rPr>
      </w:pPr>
      <w:r w:rsidRPr="00F371D7">
        <w:rPr>
          <w:rFonts w:asciiTheme="minorHAnsi" w:hAnsiTheme="minorHAnsi" w:cstheme="minorHAnsi"/>
          <w:sz w:val="20"/>
          <w:lang w:val="en-GB"/>
        </w:rPr>
        <w:t xml:space="preserve">Please state the number of Shares for which admission to trading is sought (cf. Notice </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4). </w:t>
      </w:r>
    </w:p>
    <w:p w14:paraId="59E62885" w14:textId="7E311D16" w:rsidR="009F1B17" w:rsidRPr="00F371D7" w:rsidRDefault="009F1B17" w:rsidP="00E76051">
      <w:pPr>
        <w:pStyle w:val="test"/>
        <w:numPr>
          <w:ilvl w:val="0"/>
          <w:numId w:val="17"/>
        </w:numPr>
        <w:spacing w:after="120" w:line="240" w:lineRule="auto"/>
        <w:ind w:left="714" w:hanging="357"/>
        <w:jc w:val="both"/>
        <w:rPr>
          <w:rFonts w:asciiTheme="minorHAnsi" w:hAnsiTheme="minorHAnsi" w:cstheme="minorHAnsi"/>
          <w:sz w:val="20"/>
          <w:lang w:val="en-GB"/>
        </w:rPr>
      </w:pPr>
      <w:r w:rsidRPr="00F371D7">
        <w:rPr>
          <w:rFonts w:asciiTheme="minorHAnsi" w:hAnsiTheme="minorHAnsi" w:cstheme="minorHAnsi"/>
          <w:sz w:val="20"/>
          <w:lang w:val="en-GB"/>
        </w:rPr>
        <w:t xml:space="preserve">Please state whether the Issuer has one Share class, or several Share classes (cf. Notice </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4).</w:t>
      </w:r>
    </w:p>
    <w:p w14:paraId="6DAD5493" w14:textId="254E713D" w:rsidR="009F1B17" w:rsidRPr="00F371D7" w:rsidRDefault="009F1B17" w:rsidP="00E76051">
      <w:pPr>
        <w:pStyle w:val="test"/>
        <w:numPr>
          <w:ilvl w:val="0"/>
          <w:numId w:val="17"/>
        </w:numPr>
        <w:spacing w:after="120" w:line="240" w:lineRule="auto"/>
        <w:ind w:left="714" w:hanging="357"/>
        <w:jc w:val="both"/>
        <w:rPr>
          <w:rFonts w:asciiTheme="minorHAnsi" w:hAnsiTheme="minorHAnsi" w:cstheme="minorHAnsi"/>
          <w:sz w:val="20"/>
          <w:lang w:val="en-GB"/>
        </w:rPr>
      </w:pPr>
      <w:r w:rsidRPr="00F371D7">
        <w:rPr>
          <w:rFonts w:asciiTheme="minorHAnsi" w:hAnsiTheme="minorHAnsi" w:cstheme="minorHAnsi"/>
          <w:sz w:val="20"/>
          <w:lang w:val="en-GB"/>
        </w:rPr>
        <w:t xml:space="preserve">Please state whether the application refers to one or more than one Share class (cf. Notice </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4).</w:t>
      </w:r>
    </w:p>
    <w:p w14:paraId="2D927893" w14:textId="77777777" w:rsidR="009F1B17" w:rsidRPr="00A8106A" w:rsidRDefault="009F1B17" w:rsidP="00E76051">
      <w:pPr>
        <w:pStyle w:val="ListParagraph"/>
        <w:numPr>
          <w:ilvl w:val="0"/>
          <w:numId w:val="17"/>
        </w:numPr>
        <w:spacing w:after="0" w:line="240" w:lineRule="auto"/>
        <w:contextualSpacing/>
        <w:jc w:val="both"/>
        <w:rPr>
          <w:rFonts w:asciiTheme="minorHAnsi" w:hAnsiTheme="minorHAnsi" w:cstheme="minorHAnsi"/>
          <w:sz w:val="20"/>
          <w:szCs w:val="20"/>
          <w:lang w:val="en-GB"/>
        </w:rPr>
      </w:pPr>
      <w:r w:rsidRPr="00F371D7">
        <w:rPr>
          <w:rFonts w:asciiTheme="minorHAnsi" w:hAnsiTheme="minorHAnsi" w:cstheme="minorHAnsi"/>
          <w:sz w:val="20"/>
          <w:szCs w:val="20"/>
          <w:lang w:val="en-GB"/>
        </w:rPr>
        <w:t>If the Issuer is</w:t>
      </w:r>
      <w:r w:rsidRPr="00A8106A">
        <w:rPr>
          <w:rFonts w:asciiTheme="minorHAnsi" w:hAnsiTheme="minorHAnsi" w:cstheme="minorHAnsi"/>
          <w:sz w:val="20"/>
          <w:szCs w:val="20"/>
          <w:lang w:val="en-GB"/>
        </w:rPr>
        <w:t xml:space="preserve"> applying for an exemption from these requirements, this must be stated.</w:t>
      </w:r>
    </w:p>
    <w:p w14:paraId="00082E9B" w14:textId="77777777" w:rsidR="009F1B17" w:rsidRDefault="009F1B17" w:rsidP="009F1B17">
      <w:pPr>
        <w:rPr>
          <w:lang w:val="en-GB" w:eastAsia="nb-NO"/>
        </w:rPr>
      </w:pPr>
    </w:p>
    <w:p w14:paraId="346AE404" w14:textId="0C771EEB" w:rsidR="009F1B17" w:rsidRDefault="009F1B17" w:rsidP="009F1B17">
      <w:pPr>
        <w:rPr>
          <w:b/>
          <w:sz w:val="20"/>
          <w:lang w:val="en-US"/>
        </w:rPr>
      </w:pPr>
      <w:r w:rsidRPr="009F1B17">
        <w:rPr>
          <w:b/>
          <w:sz w:val="20"/>
          <w:lang w:val="en-US"/>
        </w:rPr>
        <w:t>Free transferability of Shares</w:t>
      </w:r>
    </w:p>
    <w:p w14:paraId="50E9C65B" w14:textId="77777777" w:rsidR="00B01492" w:rsidRDefault="00B01492" w:rsidP="009F1B17">
      <w:pPr>
        <w:rPr>
          <w:b/>
          <w:sz w:val="20"/>
          <w:lang w:val="en-US"/>
        </w:rPr>
      </w:pPr>
    </w:p>
    <w:tbl>
      <w:tblPr>
        <w:tblStyle w:val="TableGrid"/>
        <w:tblW w:w="0" w:type="auto"/>
        <w:tblLook w:val="04A0" w:firstRow="1" w:lastRow="0" w:firstColumn="1" w:lastColumn="0" w:noHBand="0" w:noVBand="1"/>
      </w:tblPr>
      <w:tblGrid>
        <w:gridCol w:w="9060"/>
      </w:tblGrid>
      <w:tr w:rsidR="009F1B17" w:rsidRPr="00706E66" w14:paraId="2CC18C8E" w14:textId="77777777" w:rsidTr="009F1B17">
        <w:tc>
          <w:tcPr>
            <w:tcW w:w="9060" w:type="dxa"/>
            <w:shd w:val="clear" w:color="auto" w:fill="F2F2F2" w:themeFill="background1" w:themeFillShade="F2"/>
          </w:tcPr>
          <w:p w14:paraId="4FE486CE" w14:textId="3B902666" w:rsidR="004D68F5" w:rsidRPr="00F371D7" w:rsidRDefault="009F1B17" w:rsidP="00CC2D72">
            <w:pPr>
              <w:spacing w:after="120"/>
              <w:rPr>
                <w:b/>
                <w:sz w:val="18"/>
                <w:szCs w:val="20"/>
                <w:lang w:val="en-US"/>
              </w:rPr>
            </w:pPr>
            <w:r w:rsidRPr="00F371D7">
              <w:rPr>
                <w:b/>
                <w:sz w:val="18"/>
                <w:szCs w:val="20"/>
                <w:lang w:val="en-US"/>
              </w:rPr>
              <w:t xml:space="preserve">RULE BOOK PART II SECTION </w:t>
            </w:r>
            <w:r w:rsidR="00E50ACC" w:rsidRPr="00F371D7">
              <w:rPr>
                <w:b/>
                <w:sz w:val="18"/>
                <w:szCs w:val="20"/>
                <w:lang w:val="en-US"/>
              </w:rPr>
              <w:t>2</w:t>
            </w:r>
            <w:r w:rsidRPr="00F371D7">
              <w:rPr>
                <w:b/>
                <w:sz w:val="18"/>
                <w:szCs w:val="20"/>
                <w:lang w:val="en-US"/>
              </w:rPr>
              <w:t>.</w:t>
            </w:r>
            <w:r w:rsidR="00E50ACC" w:rsidRPr="00F371D7">
              <w:rPr>
                <w:b/>
                <w:sz w:val="18"/>
                <w:szCs w:val="20"/>
                <w:lang w:val="en-US"/>
              </w:rPr>
              <w:t>1</w:t>
            </w:r>
            <w:r w:rsidRPr="00F371D7">
              <w:rPr>
                <w:b/>
                <w:sz w:val="18"/>
                <w:szCs w:val="20"/>
                <w:lang w:val="en-US"/>
              </w:rPr>
              <w:t>.5.4</w:t>
            </w:r>
          </w:p>
          <w:p w14:paraId="29C6052E" w14:textId="4D928756" w:rsidR="009F1B17" w:rsidRPr="00CC2D72" w:rsidRDefault="00CC2D72" w:rsidP="00CC2D72">
            <w:pPr>
              <w:spacing w:after="120"/>
              <w:rPr>
                <w:sz w:val="18"/>
                <w:lang w:val="en-US"/>
              </w:rPr>
            </w:pPr>
            <w:r w:rsidRPr="00CC2D72">
              <w:rPr>
                <w:sz w:val="18"/>
                <w:lang w:val="en-US"/>
              </w:rPr>
              <w:t>The Shares shall be freely transferable, cf. Rule 3.1.4 of Rule Book Part I. Oslo Børs may derogate from the free transferability requirement in accordance with third sentence of this provision. If the Issuer pursuant to its articles of association, law or regulations made pursuant to law, has been given a discretionary right to bar a Share acquisition or to impose other trading restrictions, such right may only be exercised if there is sufficient cause to bar the acquisition or to impose other trading restrictions and such imposition does not cause disturbances in the market. For an Issuer being a Norwegian private limited company, it must generally be the case that its articles of association state that the consent requirement for Share acquisitions and the pre-emption rights of other shareholders pursuant to Section 4-15 (2) and (3) of the Norwegian Private Limited Liability Companies Act, shall not apply.</w:t>
            </w:r>
          </w:p>
        </w:tc>
      </w:tr>
    </w:tbl>
    <w:p w14:paraId="65E7360E" w14:textId="77777777" w:rsidR="009F1B17" w:rsidRPr="009F1B17" w:rsidRDefault="009F1B17" w:rsidP="009F1B17">
      <w:pPr>
        <w:rPr>
          <w:b/>
          <w:sz w:val="18"/>
          <w:lang w:val="en-US"/>
        </w:rPr>
      </w:pPr>
    </w:p>
    <w:p w14:paraId="107A4759" w14:textId="77777777" w:rsidR="009F1B17" w:rsidRPr="00A8106A" w:rsidRDefault="009F1B17" w:rsidP="00E76051">
      <w:pPr>
        <w:pStyle w:val="ListParagraph"/>
        <w:numPr>
          <w:ilvl w:val="0"/>
          <w:numId w:val="18"/>
        </w:numPr>
        <w:spacing w:after="120" w:line="240" w:lineRule="auto"/>
        <w:ind w:left="714" w:hanging="357"/>
        <w:contextualSpacing/>
        <w:jc w:val="both"/>
        <w:rPr>
          <w:rFonts w:asciiTheme="minorHAnsi" w:hAnsiTheme="minorHAnsi" w:cstheme="minorHAnsi"/>
          <w:sz w:val="20"/>
          <w:szCs w:val="20"/>
          <w:lang w:val="en-GB"/>
        </w:rPr>
      </w:pPr>
      <w:r w:rsidRPr="00A8106A">
        <w:rPr>
          <w:rFonts w:asciiTheme="minorHAnsi" w:hAnsiTheme="minorHAnsi" w:cstheme="minorHAnsi"/>
          <w:sz w:val="20"/>
          <w:szCs w:val="20"/>
          <w:lang w:val="en-GB"/>
        </w:rPr>
        <w:t xml:space="preserve">Please comment on whether the Shares for which admission to trading are sought are freely transferable. </w:t>
      </w:r>
    </w:p>
    <w:p w14:paraId="3E0FEC30" w14:textId="5F73D32B" w:rsidR="009F1B17" w:rsidRPr="00F371D7" w:rsidRDefault="009F1B17" w:rsidP="00E76051">
      <w:pPr>
        <w:pStyle w:val="test"/>
        <w:numPr>
          <w:ilvl w:val="0"/>
          <w:numId w:val="18"/>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lastRenderedPageBreak/>
        <w:t xml:space="preserve">Please state whether the Issuer, pursuant to its articles of association, law or regulations issued pursuant to </w:t>
      </w:r>
      <w:r w:rsidR="000644F8">
        <w:rPr>
          <w:rFonts w:asciiTheme="minorHAnsi" w:hAnsiTheme="minorHAnsi" w:cstheme="minorHAnsi"/>
          <w:sz w:val="20"/>
          <w:lang w:val="en-GB"/>
        </w:rPr>
        <w:t>law</w:t>
      </w:r>
      <w:r w:rsidRPr="00A8106A">
        <w:rPr>
          <w:rFonts w:asciiTheme="minorHAnsi" w:hAnsiTheme="minorHAnsi" w:cstheme="minorHAnsi"/>
          <w:sz w:val="20"/>
          <w:lang w:val="en-GB"/>
        </w:rPr>
        <w:t xml:space="preserve">, </w:t>
      </w:r>
      <w:r w:rsidRPr="00F371D7">
        <w:rPr>
          <w:rFonts w:asciiTheme="minorHAnsi" w:hAnsiTheme="minorHAnsi" w:cstheme="minorHAnsi"/>
          <w:sz w:val="20"/>
          <w:lang w:val="en-GB"/>
        </w:rPr>
        <w:t>has been given a discretionary right to bar a Share acquisition or to impose other trading restrictions</w:t>
      </w:r>
      <w:r w:rsidR="000644F8" w:rsidRPr="00F371D7">
        <w:rPr>
          <w:rFonts w:asciiTheme="minorHAnsi" w:hAnsiTheme="minorHAnsi" w:cstheme="minorHAnsi"/>
          <w:sz w:val="20"/>
          <w:lang w:val="en-GB"/>
        </w:rPr>
        <w:t xml:space="preserve"> (cf. Notice </w:t>
      </w:r>
      <w:r w:rsidR="00E50ACC" w:rsidRPr="00F371D7">
        <w:rPr>
          <w:rFonts w:asciiTheme="minorHAnsi" w:hAnsiTheme="minorHAnsi" w:cstheme="minorHAnsi"/>
          <w:sz w:val="20"/>
          <w:lang w:val="en-GB"/>
        </w:rPr>
        <w:t>2</w:t>
      </w:r>
      <w:r w:rsidR="000644F8"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000644F8" w:rsidRPr="00F371D7">
        <w:rPr>
          <w:rFonts w:asciiTheme="minorHAnsi" w:hAnsiTheme="minorHAnsi" w:cstheme="minorHAnsi"/>
          <w:sz w:val="20"/>
          <w:lang w:val="en-GB"/>
        </w:rPr>
        <w:t xml:space="preserve"> section 2 (2) item 21)</w:t>
      </w:r>
      <w:r w:rsidRPr="00F371D7">
        <w:rPr>
          <w:rFonts w:asciiTheme="minorHAnsi" w:hAnsiTheme="minorHAnsi" w:cstheme="minorHAnsi"/>
          <w:sz w:val="20"/>
          <w:lang w:val="en-GB"/>
        </w:rPr>
        <w:t>. Norwegian private limited companies must confirm that the Issuer’s articles of association stipulate that the provisions on consent requirements for Share acquisitions and on the pre-emption rights of other shareholders in the event of Share transfers in the Norwegian Private Limited Companies Act, do not apply to the Issuer.</w:t>
      </w:r>
    </w:p>
    <w:p w14:paraId="03E4B286" w14:textId="5016AB2F" w:rsidR="009F1B17" w:rsidRPr="00F371D7" w:rsidRDefault="009F1B17" w:rsidP="00E76051">
      <w:pPr>
        <w:pStyle w:val="test"/>
        <w:numPr>
          <w:ilvl w:val="0"/>
          <w:numId w:val="18"/>
        </w:numPr>
        <w:spacing w:after="120" w:line="240" w:lineRule="auto"/>
        <w:ind w:left="714" w:hanging="357"/>
        <w:jc w:val="both"/>
        <w:rPr>
          <w:rFonts w:asciiTheme="minorHAnsi" w:hAnsiTheme="minorHAnsi" w:cstheme="minorHAnsi"/>
          <w:sz w:val="20"/>
          <w:lang w:val="en-GB"/>
        </w:rPr>
      </w:pPr>
      <w:r w:rsidRPr="00F371D7">
        <w:rPr>
          <w:rFonts w:asciiTheme="minorHAnsi" w:hAnsiTheme="minorHAnsi" w:cstheme="minorHAnsi"/>
          <w:sz w:val="20"/>
          <w:lang w:val="en-GB"/>
        </w:rPr>
        <w:t xml:space="preserve">Please state whether the Issuer’s Shares are subject to ownership restrictions pursuant to law, licensing conditions, or its articles of association, and if appropriate the proportion of the Shares to which such restrictions apply, cf. Notice </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18). </w:t>
      </w:r>
    </w:p>
    <w:p w14:paraId="77A18449" w14:textId="495603B5" w:rsidR="009F1B17" w:rsidRPr="00F371D7" w:rsidRDefault="009F1B17" w:rsidP="00E76051">
      <w:pPr>
        <w:pStyle w:val="test"/>
        <w:numPr>
          <w:ilvl w:val="0"/>
          <w:numId w:val="18"/>
        </w:numPr>
        <w:spacing w:after="120" w:line="240" w:lineRule="auto"/>
        <w:ind w:left="714" w:hanging="357"/>
        <w:jc w:val="both"/>
        <w:rPr>
          <w:rFonts w:asciiTheme="minorHAnsi" w:hAnsiTheme="minorHAnsi" w:cstheme="minorHAnsi"/>
          <w:sz w:val="20"/>
          <w:lang w:val="en-GB"/>
        </w:rPr>
      </w:pPr>
      <w:r w:rsidRPr="00F371D7">
        <w:rPr>
          <w:rFonts w:asciiTheme="minorHAnsi" w:hAnsiTheme="minorHAnsi" w:cstheme="minorHAnsi"/>
          <w:sz w:val="20"/>
          <w:lang w:val="en-GB"/>
        </w:rPr>
        <w:t xml:space="preserve">Please provide information on any resolutions passed by the general meeting, or any shareholder agreements and similar arrangements of which the Issuer is aware, that may affect the Shares’ suitability for admission to trading on Euronext Growth Oslo, including any lock-up agreements (cf. Notice </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E50ACC"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20).</w:t>
      </w:r>
    </w:p>
    <w:p w14:paraId="14C06838" w14:textId="77777777" w:rsidR="009F1B17" w:rsidRDefault="009F1B17" w:rsidP="009F1B17">
      <w:pPr>
        <w:rPr>
          <w:lang w:val="en-GB" w:eastAsia="nb-NO"/>
        </w:rPr>
      </w:pPr>
    </w:p>
    <w:p w14:paraId="629F8773" w14:textId="336B789C" w:rsidR="009F1B17" w:rsidRDefault="009F1B17" w:rsidP="009F1B17">
      <w:pPr>
        <w:rPr>
          <w:b/>
          <w:sz w:val="20"/>
          <w:lang w:val="en-US"/>
        </w:rPr>
      </w:pPr>
      <w:r w:rsidRPr="009F1B17">
        <w:rPr>
          <w:b/>
          <w:sz w:val="20"/>
          <w:lang w:val="en-US"/>
        </w:rPr>
        <w:t>Voting rights for Shares</w:t>
      </w:r>
    </w:p>
    <w:p w14:paraId="3CFED38F" w14:textId="77777777" w:rsidR="00B01492" w:rsidRPr="009F1B17" w:rsidRDefault="00B01492" w:rsidP="009F1B17">
      <w:pPr>
        <w:rPr>
          <w:b/>
          <w:sz w:val="20"/>
          <w:lang w:val="en-US"/>
        </w:rPr>
      </w:pPr>
    </w:p>
    <w:tbl>
      <w:tblPr>
        <w:tblStyle w:val="TableGrid"/>
        <w:tblW w:w="0" w:type="auto"/>
        <w:tblLook w:val="04A0" w:firstRow="1" w:lastRow="0" w:firstColumn="1" w:lastColumn="0" w:noHBand="0" w:noVBand="1"/>
      </w:tblPr>
      <w:tblGrid>
        <w:gridCol w:w="9060"/>
      </w:tblGrid>
      <w:tr w:rsidR="009F1B17" w:rsidRPr="00706E66" w14:paraId="473A1D55" w14:textId="77777777" w:rsidTr="009F1B17">
        <w:tc>
          <w:tcPr>
            <w:tcW w:w="9060" w:type="dxa"/>
            <w:shd w:val="clear" w:color="auto" w:fill="F2F2F2" w:themeFill="background1" w:themeFillShade="F2"/>
          </w:tcPr>
          <w:p w14:paraId="7BA79982" w14:textId="380AA604" w:rsidR="009F1B17" w:rsidRPr="00F62BC0" w:rsidRDefault="009F1B17" w:rsidP="00F62BC0">
            <w:pPr>
              <w:spacing w:after="120"/>
              <w:rPr>
                <w:b/>
                <w:sz w:val="18"/>
                <w:szCs w:val="18"/>
                <w:lang w:val="en-GB"/>
              </w:rPr>
            </w:pPr>
            <w:r w:rsidRPr="00F371D7">
              <w:rPr>
                <w:b/>
                <w:sz w:val="18"/>
                <w:szCs w:val="18"/>
                <w:lang w:val="en-GB"/>
              </w:rPr>
              <w:t xml:space="preserve">RULE BOOK PART II SECTION </w:t>
            </w:r>
            <w:r w:rsidR="00E50ACC" w:rsidRPr="00F371D7">
              <w:rPr>
                <w:b/>
                <w:sz w:val="18"/>
                <w:szCs w:val="18"/>
                <w:lang w:val="en-GB"/>
              </w:rPr>
              <w:t>2</w:t>
            </w:r>
            <w:r w:rsidRPr="00F371D7">
              <w:rPr>
                <w:b/>
                <w:sz w:val="18"/>
                <w:szCs w:val="18"/>
                <w:lang w:val="en-GB"/>
              </w:rPr>
              <w:t>.</w:t>
            </w:r>
            <w:r w:rsidR="00E50ACC" w:rsidRPr="00F371D7">
              <w:rPr>
                <w:b/>
                <w:sz w:val="18"/>
                <w:szCs w:val="18"/>
                <w:lang w:val="en-GB"/>
              </w:rPr>
              <w:t>1</w:t>
            </w:r>
            <w:r w:rsidRPr="00F371D7">
              <w:rPr>
                <w:b/>
                <w:sz w:val="18"/>
                <w:szCs w:val="18"/>
                <w:lang w:val="en-GB"/>
              </w:rPr>
              <w:t>.5.5</w:t>
            </w:r>
          </w:p>
          <w:p w14:paraId="729E8AA7" w14:textId="0D01C036" w:rsidR="00E726EA" w:rsidRPr="00E726EA" w:rsidRDefault="00F62BC0" w:rsidP="00F62BC0">
            <w:pPr>
              <w:spacing w:after="120"/>
              <w:rPr>
                <w:lang w:val="en-GB"/>
              </w:rPr>
            </w:pPr>
            <w:r w:rsidRPr="00F62BC0">
              <w:rPr>
                <w:sz w:val="18"/>
                <w:szCs w:val="18"/>
                <w:lang w:val="en-GB"/>
              </w:rPr>
              <w:t>If the Issuer pursuant to its articles of association, law or regulations made pursuant to law, has been given a discretionary right to bar the exercise of voting rights, such discretionary right may only be exercised if there is sufficient cause.</w:t>
            </w:r>
          </w:p>
        </w:tc>
      </w:tr>
    </w:tbl>
    <w:p w14:paraId="0F7BE125" w14:textId="77777777" w:rsidR="009F1B17" w:rsidRPr="009F1B17" w:rsidRDefault="009F1B17" w:rsidP="009F1B17">
      <w:pPr>
        <w:rPr>
          <w:sz w:val="20"/>
          <w:lang w:val="en-GB"/>
        </w:rPr>
      </w:pPr>
    </w:p>
    <w:p w14:paraId="63E6273B" w14:textId="77777777" w:rsidR="009F1B17" w:rsidRPr="00A8106A" w:rsidRDefault="009F1B17" w:rsidP="00E76051">
      <w:pPr>
        <w:pStyle w:val="test"/>
        <w:numPr>
          <w:ilvl w:val="0"/>
          <w:numId w:val="16"/>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Please state whether the Issuer, pursuant to its articles of association, law or regulations made pursuant to law, has been given a discretionary right to bar the exercise of voting rights.</w:t>
      </w:r>
    </w:p>
    <w:p w14:paraId="0A5CDAE9" w14:textId="77777777" w:rsidR="009F1B17" w:rsidRDefault="009F1B17" w:rsidP="009F1B17">
      <w:pPr>
        <w:rPr>
          <w:lang w:val="en-GB" w:eastAsia="nb-NO"/>
        </w:rPr>
      </w:pPr>
    </w:p>
    <w:p w14:paraId="6AB7B54E" w14:textId="1706FB74" w:rsidR="009F1B17" w:rsidRDefault="009F1B17" w:rsidP="009F1B17">
      <w:pPr>
        <w:rPr>
          <w:b/>
          <w:sz w:val="20"/>
          <w:lang w:val="en-US"/>
        </w:rPr>
      </w:pPr>
      <w:r w:rsidRPr="009F1B17">
        <w:rPr>
          <w:b/>
          <w:sz w:val="20"/>
          <w:lang w:val="en-US"/>
        </w:rPr>
        <w:t>Minimum market value of the Shares at the time of admission to trading</w:t>
      </w:r>
    </w:p>
    <w:p w14:paraId="01E95734" w14:textId="77777777" w:rsidR="00B01492" w:rsidRPr="009F1B17" w:rsidRDefault="00B01492" w:rsidP="009F1B17">
      <w:pPr>
        <w:rPr>
          <w:b/>
          <w:sz w:val="20"/>
          <w:lang w:val="en-US"/>
        </w:rPr>
      </w:pPr>
    </w:p>
    <w:tbl>
      <w:tblPr>
        <w:tblStyle w:val="TableGrid"/>
        <w:tblW w:w="0" w:type="auto"/>
        <w:tblLook w:val="04A0" w:firstRow="1" w:lastRow="0" w:firstColumn="1" w:lastColumn="0" w:noHBand="0" w:noVBand="1"/>
      </w:tblPr>
      <w:tblGrid>
        <w:gridCol w:w="9060"/>
      </w:tblGrid>
      <w:tr w:rsidR="009F1B17" w:rsidRPr="00706E66" w14:paraId="61FF10F7" w14:textId="77777777" w:rsidTr="009F1B17">
        <w:tc>
          <w:tcPr>
            <w:tcW w:w="9060" w:type="dxa"/>
            <w:shd w:val="clear" w:color="auto" w:fill="F2F2F2" w:themeFill="background1" w:themeFillShade="F2"/>
          </w:tcPr>
          <w:p w14:paraId="166D8570" w14:textId="1BEF13B6" w:rsidR="00B85BF3" w:rsidRPr="00F371D7" w:rsidRDefault="009F1B17" w:rsidP="00B85BF3">
            <w:pPr>
              <w:spacing w:after="120"/>
              <w:rPr>
                <w:b/>
                <w:sz w:val="18"/>
                <w:szCs w:val="18"/>
                <w:lang w:val="en-GB"/>
              </w:rPr>
            </w:pPr>
            <w:r w:rsidRPr="00F371D7">
              <w:rPr>
                <w:b/>
                <w:sz w:val="18"/>
                <w:szCs w:val="18"/>
                <w:lang w:val="en-GB"/>
              </w:rPr>
              <w:t xml:space="preserve">RULE BOOK PART II SECTION </w:t>
            </w:r>
            <w:r w:rsidR="00F95285" w:rsidRPr="00F371D7">
              <w:rPr>
                <w:b/>
                <w:sz w:val="18"/>
                <w:szCs w:val="18"/>
                <w:lang w:val="en-GB"/>
              </w:rPr>
              <w:t>2</w:t>
            </w:r>
            <w:r w:rsidRPr="00F371D7">
              <w:rPr>
                <w:b/>
                <w:sz w:val="18"/>
                <w:szCs w:val="18"/>
                <w:lang w:val="en-GB"/>
              </w:rPr>
              <w:t>.</w:t>
            </w:r>
            <w:r w:rsidR="00F95285" w:rsidRPr="00F371D7">
              <w:rPr>
                <w:b/>
                <w:sz w:val="18"/>
                <w:szCs w:val="18"/>
                <w:lang w:val="en-GB"/>
              </w:rPr>
              <w:t>1</w:t>
            </w:r>
            <w:r w:rsidRPr="00F371D7">
              <w:rPr>
                <w:b/>
                <w:sz w:val="18"/>
                <w:szCs w:val="18"/>
                <w:lang w:val="en-GB"/>
              </w:rPr>
              <w:t>.5.6</w:t>
            </w:r>
          </w:p>
          <w:p w14:paraId="6CE9D78C" w14:textId="567B8AF8" w:rsidR="00F62BC0" w:rsidRPr="009F1B17" w:rsidRDefault="00F62BC0" w:rsidP="00B85BF3">
            <w:pPr>
              <w:spacing w:after="120"/>
              <w:rPr>
                <w:sz w:val="20"/>
                <w:szCs w:val="20"/>
                <w:lang w:val="en-GB"/>
              </w:rPr>
            </w:pPr>
            <w:r w:rsidRPr="00CA553A">
              <w:rPr>
                <w:sz w:val="18"/>
                <w:szCs w:val="18"/>
                <w:lang w:val="en-GB"/>
              </w:rPr>
              <w:t>The Shares for which admission to trading is sought must have an expected market value at the time they are admitted to trading of at least NOK 1 per Share.</w:t>
            </w:r>
          </w:p>
        </w:tc>
      </w:tr>
    </w:tbl>
    <w:p w14:paraId="50E46117" w14:textId="77777777" w:rsidR="009F1B17" w:rsidRPr="00A432C1" w:rsidRDefault="009F1B17" w:rsidP="009F1B17">
      <w:pPr>
        <w:rPr>
          <w:sz w:val="20"/>
          <w:szCs w:val="20"/>
          <w:lang w:val="en-US"/>
        </w:rPr>
      </w:pPr>
    </w:p>
    <w:p w14:paraId="646D8DC3" w14:textId="79A22B48" w:rsidR="009F1B17" w:rsidRDefault="009F1B17" w:rsidP="00E76051">
      <w:pPr>
        <w:pStyle w:val="test"/>
        <w:numPr>
          <w:ilvl w:val="0"/>
          <w:numId w:val="16"/>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Please state the estimated market value of the Issuer’s Shares (both per Share and in total) and how this has been determined, at the time of admission to trading (cf</w:t>
      </w:r>
      <w:r w:rsidRPr="00F371D7">
        <w:rPr>
          <w:rFonts w:asciiTheme="minorHAnsi" w:hAnsiTheme="minorHAnsi" w:cstheme="minorHAnsi"/>
          <w:sz w:val="20"/>
          <w:lang w:val="en-GB"/>
        </w:rPr>
        <w:t xml:space="preserve">. Notice </w:t>
      </w:r>
      <w:r w:rsidR="00F95285"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F95285"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4).</w:t>
      </w:r>
    </w:p>
    <w:p w14:paraId="5D636563" w14:textId="77777777" w:rsidR="008C2894" w:rsidRPr="00A8106A" w:rsidRDefault="008C2894" w:rsidP="008C2894">
      <w:pPr>
        <w:pStyle w:val="test"/>
        <w:spacing w:after="120" w:line="240" w:lineRule="auto"/>
        <w:ind w:left="714"/>
        <w:rPr>
          <w:rFonts w:asciiTheme="minorHAnsi" w:hAnsiTheme="minorHAnsi" w:cstheme="minorHAnsi"/>
          <w:sz w:val="20"/>
          <w:lang w:val="en-GB"/>
        </w:rPr>
      </w:pPr>
    </w:p>
    <w:p w14:paraId="02CE173A" w14:textId="6FC312FF" w:rsidR="009F1B17" w:rsidRPr="00B01492" w:rsidRDefault="009F1B17" w:rsidP="009F1B17">
      <w:pPr>
        <w:rPr>
          <w:b/>
          <w:sz w:val="20"/>
          <w:szCs w:val="20"/>
          <w:lang w:val="en-US"/>
        </w:rPr>
      </w:pPr>
      <w:r w:rsidRPr="00B01492">
        <w:rPr>
          <w:b/>
          <w:sz w:val="20"/>
          <w:szCs w:val="20"/>
          <w:lang w:val="en-US"/>
        </w:rPr>
        <w:t>Registration of Share capital with a central securities depository</w:t>
      </w:r>
    </w:p>
    <w:p w14:paraId="29BCA7D1" w14:textId="77777777" w:rsidR="00B01492" w:rsidRPr="009F1B17" w:rsidRDefault="00B01492" w:rsidP="009F1B17">
      <w:pPr>
        <w:rPr>
          <w:b/>
          <w:sz w:val="18"/>
          <w:lang w:val="en-US"/>
        </w:rPr>
      </w:pPr>
    </w:p>
    <w:tbl>
      <w:tblPr>
        <w:tblStyle w:val="TableGrid"/>
        <w:tblW w:w="0" w:type="auto"/>
        <w:tblLook w:val="04A0" w:firstRow="1" w:lastRow="0" w:firstColumn="1" w:lastColumn="0" w:noHBand="0" w:noVBand="1"/>
      </w:tblPr>
      <w:tblGrid>
        <w:gridCol w:w="9060"/>
      </w:tblGrid>
      <w:tr w:rsidR="009F1B17" w:rsidRPr="00706E66" w14:paraId="18128D74" w14:textId="77777777" w:rsidTr="009F1B17">
        <w:tc>
          <w:tcPr>
            <w:tcW w:w="9060" w:type="dxa"/>
            <w:shd w:val="clear" w:color="auto" w:fill="F2F2F2" w:themeFill="background1" w:themeFillShade="F2"/>
          </w:tcPr>
          <w:p w14:paraId="635AE367" w14:textId="2DAEB9CB" w:rsidR="009F1B17" w:rsidRPr="00F62BC0" w:rsidRDefault="009F1B17" w:rsidP="00F62BC0">
            <w:pPr>
              <w:spacing w:after="120"/>
              <w:rPr>
                <w:b/>
                <w:sz w:val="18"/>
                <w:szCs w:val="20"/>
                <w:lang w:val="en-GB"/>
              </w:rPr>
            </w:pPr>
            <w:r w:rsidRPr="00F371D7">
              <w:rPr>
                <w:b/>
                <w:sz w:val="18"/>
                <w:szCs w:val="20"/>
                <w:lang w:val="en-GB"/>
              </w:rPr>
              <w:t xml:space="preserve">RULE BOOK PART II SECTION </w:t>
            </w:r>
            <w:r w:rsidR="006F0F31" w:rsidRPr="00F371D7">
              <w:rPr>
                <w:b/>
                <w:sz w:val="18"/>
                <w:szCs w:val="20"/>
                <w:lang w:val="en-GB"/>
              </w:rPr>
              <w:t>2</w:t>
            </w:r>
            <w:r w:rsidRPr="00F371D7">
              <w:rPr>
                <w:b/>
                <w:sz w:val="18"/>
                <w:szCs w:val="20"/>
                <w:lang w:val="en-GB"/>
              </w:rPr>
              <w:t>.</w:t>
            </w:r>
            <w:r w:rsidR="006F0F31" w:rsidRPr="00F371D7">
              <w:rPr>
                <w:b/>
                <w:sz w:val="18"/>
                <w:szCs w:val="20"/>
                <w:lang w:val="en-GB"/>
              </w:rPr>
              <w:t>1</w:t>
            </w:r>
            <w:r w:rsidRPr="00F371D7">
              <w:rPr>
                <w:b/>
                <w:sz w:val="18"/>
                <w:szCs w:val="20"/>
                <w:lang w:val="en-GB"/>
              </w:rPr>
              <w:t>.5.7</w:t>
            </w:r>
          </w:p>
          <w:p w14:paraId="7CBDCA9B" w14:textId="201DA567" w:rsidR="00F62BC0" w:rsidRPr="00F62BC0" w:rsidRDefault="00F62BC0" w:rsidP="00F62BC0">
            <w:pPr>
              <w:spacing w:after="120"/>
              <w:rPr>
                <w:sz w:val="18"/>
                <w:lang w:val="en-GB"/>
              </w:rPr>
            </w:pPr>
            <w:r>
              <w:rPr>
                <w:sz w:val="18"/>
                <w:lang w:val="en-GB"/>
              </w:rPr>
              <w:t xml:space="preserve">Rule </w:t>
            </w:r>
            <w:r w:rsidRPr="00F62BC0">
              <w:rPr>
                <w:sz w:val="18"/>
                <w:lang w:val="en-GB"/>
              </w:rPr>
              <w:t xml:space="preserve">3.1.4.A of Rule Book Part I does not apply for Euronext Growth Oslo. The Issuer’s Shares in the Share class subject to admission to trading must be registered with a duly licensed central securities depository whereby adequate procedures for settlement related to trading on Euronext Growth Oslo are established. The requirement must be fulfilled at the time the application is submitted. In the case of foreign companies, the Issuer must have as large a proportion of the Share capital for which it is applying for admission to trading registered with a central securities depository, that the requirements of section </w:t>
            </w:r>
            <w:r w:rsidR="006F0F31">
              <w:rPr>
                <w:sz w:val="18"/>
                <w:lang w:val="en-GB"/>
              </w:rPr>
              <w:t>2</w:t>
            </w:r>
            <w:r w:rsidR="00B85BF3">
              <w:rPr>
                <w:sz w:val="18"/>
                <w:lang w:val="en-GB"/>
              </w:rPr>
              <w:t>.</w:t>
            </w:r>
            <w:r w:rsidR="006F0F31">
              <w:rPr>
                <w:sz w:val="18"/>
                <w:lang w:val="en-GB"/>
              </w:rPr>
              <w:t>1</w:t>
            </w:r>
            <w:r w:rsidR="00B85BF3">
              <w:rPr>
                <w:sz w:val="18"/>
                <w:lang w:val="en-GB"/>
              </w:rPr>
              <w:t xml:space="preserve">.5.1, </w:t>
            </w:r>
            <w:r w:rsidR="006F0F31">
              <w:rPr>
                <w:sz w:val="18"/>
                <w:lang w:val="en-GB"/>
              </w:rPr>
              <w:t>2</w:t>
            </w:r>
            <w:r w:rsidRPr="00F62BC0">
              <w:rPr>
                <w:sz w:val="18"/>
                <w:lang w:val="en-GB"/>
              </w:rPr>
              <w:t>.</w:t>
            </w:r>
            <w:r w:rsidR="006F0F31">
              <w:rPr>
                <w:sz w:val="18"/>
                <w:lang w:val="en-GB"/>
              </w:rPr>
              <w:t>1</w:t>
            </w:r>
            <w:r w:rsidRPr="00F62BC0">
              <w:rPr>
                <w:sz w:val="18"/>
                <w:lang w:val="en-GB"/>
              </w:rPr>
              <w:t xml:space="preserve">.5.2 and </w:t>
            </w:r>
            <w:r w:rsidR="006F0F31">
              <w:rPr>
                <w:sz w:val="18"/>
                <w:lang w:val="en-GB"/>
              </w:rPr>
              <w:t>2</w:t>
            </w:r>
            <w:r w:rsidRPr="00F62BC0">
              <w:rPr>
                <w:sz w:val="18"/>
                <w:lang w:val="en-GB"/>
              </w:rPr>
              <w:t>.</w:t>
            </w:r>
            <w:r w:rsidR="006F0F31">
              <w:rPr>
                <w:sz w:val="18"/>
                <w:lang w:val="en-GB"/>
              </w:rPr>
              <w:t>1</w:t>
            </w:r>
            <w:r w:rsidRPr="00F62BC0">
              <w:rPr>
                <w:sz w:val="18"/>
                <w:lang w:val="en-GB"/>
              </w:rPr>
              <w:t>.5.3 are fulfilled for this proportion of its Share capital.</w:t>
            </w:r>
          </w:p>
        </w:tc>
      </w:tr>
    </w:tbl>
    <w:p w14:paraId="6F0F9EF5" w14:textId="77777777" w:rsidR="009F1B17" w:rsidRPr="00A432C1" w:rsidRDefault="009F1B17" w:rsidP="009F1B17">
      <w:pPr>
        <w:rPr>
          <w:sz w:val="18"/>
          <w:szCs w:val="20"/>
          <w:lang w:val="en-US"/>
        </w:rPr>
      </w:pPr>
    </w:p>
    <w:p w14:paraId="455203E1" w14:textId="7B7E4D53" w:rsidR="009F1B17" w:rsidRPr="00A8106A" w:rsidRDefault="009F1B17" w:rsidP="00E76051">
      <w:pPr>
        <w:pStyle w:val="test"/>
        <w:numPr>
          <w:ilvl w:val="0"/>
          <w:numId w:val="16"/>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The Issuer’s Shares in the Share class subject to admission to trading must be registered with a duly licenced central securities depository whereby adequate procedures for settlement related to trading on Euronext Growth Oslo are established. </w:t>
      </w:r>
      <w:r w:rsidR="00E00FC7" w:rsidRPr="00E00FC7">
        <w:rPr>
          <w:rFonts w:asciiTheme="minorHAnsi" w:hAnsiTheme="minorHAnsi" w:cstheme="minorHAnsi"/>
          <w:sz w:val="20"/>
          <w:lang w:val="en-GB"/>
        </w:rPr>
        <w:t xml:space="preserve">Technically, this currently means that such Shares must be registered with the VPS (the Norwegian Central Securities Depository) since VPO (the Norwegian system for settlement of securities) is linked to VPS. </w:t>
      </w:r>
      <w:r w:rsidRPr="00A8106A">
        <w:rPr>
          <w:rFonts w:asciiTheme="minorHAnsi" w:hAnsiTheme="minorHAnsi" w:cstheme="minorHAnsi"/>
          <w:sz w:val="20"/>
          <w:lang w:val="en-GB"/>
        </w:rPr>
        <w:t xml:space="preserve">Please confirm that the Shares in the Share class subject to admission to trading are registered with the VPS.  </w:t>
      </w:r>
    </w:p>
    <w:p w14:paraId="766BB7B6" w14:textId="140DCE60" w:rsidR="009F1B17" w:rsidRPr="00A8106A" w:rsidRDefault="009F1B17" w:rsidP="00E76051">
      <w:pPr>
        <w:pStyle w:val="test"/>
        <w:numPr>
          <w:ilvl w:val="0"/>
          <w:numId w:val="16"/>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lastRenderedPageBreak/>
        <w:t xml:space="preserve">Please provide the </w:t>
      </w:r>
      <w:bookmarkStart w:id="56" w:name="_Hlk54790642"/>
      <w:r w:rsidRPr="00A8106A">
        <w:rPr>
          <w:rFonts w:asciiTheme="minorHAnsi" w:hAnsiTheme="minorHAnsi" w:cstheme="minorHAnsi"/>
          <w:sz w:val="20"/>
          <w:lang w:val="en-GB"/>
        </w:rPr>
        <w:t>securities identification</w:t>
      </w:r>
      <w:bookmarkEnd w:id="56"/>
      <w:r w:rsidRPr="00A8106A">
        <w:rPr>
          <w:rFonts w:asciiTheme="minorHAnsi" w:hAnsiTheme="minorHAnsi" w:cstheme="minorHAnsi"/>
          <w:sz w:val="20"/>
          <w:lang w:val="en-GB"/>
        </w:rPr>
        <w:t xml:space="preserve"> number (ISIN) for the Shares to be admitted to trading as used by the central securities depository, and the identity of the institution operating the share register account (Norwegian: </w:t>
      </w:r>
      <w:proofErr w:type="spellStart"/>
      <w:r w:rsidRPr="00A8106A">
        <w:rPr>
          <w:rFonts w:asciiTheme="minorHAnsi" w:hAnsiTheme="minorHAnsi" w:cstheme="minorHAnsi"/>
          <w:i/>
          <w:sz w:val="20"/>
          <w:lang w:val="en-GB"/>
        </w:rPr>
        <w:t>kontofører</w:t>
      </w:r>
      <w:proofErr w:type="spellEnd"/>
      <w:r w:rsidRPr="00A8106A">
        <w:rPr>
          <w:rFonts w:asciiTheme="minorHAnsi" w:hAnsiTheme="minorHAnsi" w:cstheme="minorHAnsi"/>
          <w:i/>
          <w:sz w:val="20"/>
          <w:lang w:val="en-GB"/>
        </w:rPr>
        <w:t xml:space="preserve"> utsteder</w:t>
      </w:r>
      <w:r w:rsidRPr="00A8106A">
        <w:rPr>
          <w:rFonts w:asciiTheme="minorHAnsi" w:hAnsiTheme="minorHAnsi" w:cstheme="minorHAnsi"/>
          <w:sz w:val="20"/>
          <w:lang w:val="en-GB"/>
        </w:rPr>
        <w:t>) (cf</w:t>
      </w:r>
      <w:r w:rsidRPr="00F371D7">
        <w:rPr>
          <w:rFonts w:asciiTheme="minorHAnsi" w:hAnsiTheme="minorHAnsi" w:cstheme="minorHAnsi"/>
          <w:sz w:val="20"/>
          <w:lang w:val="en-GB"/>
        </w:rPr>
        <w:t xml:space="preserve">. Notice </w:t>
      </w:r>
      <w:r w:rsidR="006F0F31"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6F0F31"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23).</w:t>
      </w:r>
      <w:r w:rsidRPr="00A8106A">
        <w:rPr>
          <w:rFonts w:asciiTheme="minorHAnsi" w:hAnsiTheme="minorHAnsi" w:cstheme="minorHAnsi"/>
          <w:sz w:val="20"/>
          <w:lang w:val="en-GB"/>
        </w:rPr>
        <w:t xml:space="preserve"> </w:t>
      </w:r>
    </w:p>
    <w:p w14:paraId="1D73AD51" w14:textId="77777777" w:rsidR="009F1B17" w:rsidRPr="00A8106A" w:rsidRDefault="009F1B17" w:rsidP="009F1B17">
      <w:pPr>
        <w:pStyle w:val="test"/>
        <w:spacing w:after="0" w:line="240" w:lineRule="auto"/>
        <w:ind w:left="357"/>
        <w:rPr>
          <w:rFonts w:asciiTheme="minorHAnsi" w:hAnsiTheme="minorHAnsi" w:cstheme="minorHAnsi"/>
          <w:sz w:val="20"/>
          <w:lang w:val="en-GB"/>
        </w:rPr>
      </w:pPr>
    </w:p>
    <w:p w14:paraId="79CCBAFD" w14:textId="77777777" w:rsidR="009F1B17" w:rsidRPr="00A8106A" w:rsidRDefault="009F1B17" w:rsidP="009F1B17">
      <w:pPr>
        <w:rPr>
          <w:i/>
          <w:sz w:val="20"/>
          <w:szCs w:val="20"/>
          <w:u w:val="single"/>
          <w:lang w:val="en-US"/>
        </w:rPr>
      </w:pPr>
      <w:r w:rsidRPr="00A8106A">
        <w:rPr>
          <w:i/>
          <w:sz w:val="20"/>
          <w:lang w:val="en-US"/>
        </w:rPr>
        <w:t>Specific requirements for admission to trading of foreign Issuers (if relevant)</w:t>
      </w:r>
      <w:r w:rsidRPr="00A8106A">
        <w:rPr>
          <w:i/>
          <w:sz w:val="20"/>
          <w:lang w:val="en-US"/>
        </w:rPr>
        <w:br/>
      </w:r>
      <w:r w:rsidRPr="00A8106A">
        <w:rPr>
          <w:i/>
          <w:sz w:val="20"/>
          <w:szCs w:val="20"/>
          <w:lang w:val="en-US"/>
        </w:rPr>
        <w:t xml:space="preserve"> </w:t>
      </w:r>
    </w:p>
    <w:p w14:paraId="3E2E6F73" w14:textId="388B3074" w:rsidR="009F1B17" w:rsidRPr="00A8106A" w:rsidRDefault="009F1B17" w:rsidP="00E76051">
      <w:pPr>
        <w:pStyle w:val="ListParagraph"/>
        <w:numPr>
          <w:ilvl w:val="0"/>
          <w:numId w:val="20"/>
        </w:numPr>
        <w:spacing w:after="120" w:line="240" w:lineRule="auto"/>
        <w:ind w:left="714" w:hanging="357"/>
        <w:jc w:val="both"/>
        <w:rPr>
          <w:rFonts w:cs="Verdana"/>
          <w:sz w:val="20"/>
          <w:szCs w:val="20"/>
          <w:lang w:val="en-GB"/>
        </w:rPr>
      </w:pPr>
      <w:r w:rsidRPr="00A8106A">
        <w:rPr>
          <w:rFonts w:cs="Verdana"/>
          <w:sz w:val="20"/>
          <w:szCs w:val="20"/>
          <w:lang w:val="en-GB"/>
        </w:rPr>
        <w:t xml:space="preserve">Please confirm that the following admission to trading conditions are/will be fulfilled for the proportion of the Issuer’s Share capital registered </w:t>
      </w:r>
      <w:r w:rsidRPr="00A8106A">
        <w:rPr>
          <w:rFonts w:asciiTheme="minorHAnsi" w:hAnsiTheme="minorHAnsi" w:cstheme="minorHAnsi"/>
          <w:sz w:val="20"/>
          <w:szCs w:val="20"/>
          <w:lang w:val="en-GB"/>
        </w:rPr>
        <w:t>in a duly licenced central securities depository whereby adequate procedures for settlement related to trading on Euronext Growth Oslo are established (in practice, the VPS, ref. above) (</w:t>
      </w:r>
      <w:r w:rsidR="00F371D7">
        <w:rPr>
          <w:rFonts w:asciiTheme="minorHAnsi" w:hAnsiTheme="minorHAnsi" w:cstheme="minorHAnsi"/>
          <w:sz w:val="20"/>
          <w:szCs w:val="20"/>
          <w:lang w:val="en-GB"/>
        </w:rPr>
        <w:t>c</w:t>
      </w:r>
      <w:r w:rsidRPr="00A8106A">
        <w:rPr>
          <w:rFonts w:asciiTheme="minorHAnsi" w:hAnsiTheme="minorHAnsi" w:cstheme="minorHAnsi"/>
          <w:sz w:val="20"/>
          <w:szCs w:val="20"/>
          <w:lang w:val="en-GB"/>
        </w:rPr>
        <w:t xml:space="preserve">f. </w:t>
      </w:r>
      <w:r w:rsidRPr="00F371D7">
        <w:rPr>
          <w:rFonts w:asciiTheme="minorHAnsi" w:hAnsiTheme="minorHAnsi" w:cstheme="minorHAnsi"/>
          <w:sz w:val="20"/>
          <w:szCs w:val="20"/>
          <w:lang w:val="en-GB"/>
        </w:rPr>
        <w:t xml:space="preserve">Rule Book Part II section </w:t>
      </w:r>
      <w:r w:rsidR="007340E1" w:rsidRPr="00F371D7">
        <w:rPr>
          <w:rFonts w:asciiTheme="minorHAnsi" w:hAnsiTheme="minorHAnsi" w:cstheme="minorHAnsi"/>
          <w:sz w:val="20"/>
          <w:szCs w:val="20"/>
          <w:lang w:val="en-GB"/>
        </w:rPr>
        <w:t>2</w:t>
      </w:r>
      <w:r w:rsidRPr="00F371D7">
        <w:rPr>
          <w:rFonts w:asciiTheme="minorHAnsi" w:hAnsiTheme="minorHAnsi" w:cstheme="minorHAnsi"/>
          <w:sz w:val="20"/>
          <w:szCs w:val="20"/>
          <w:lang w:val="en-GB"/>
        </w:rPr>
        <w:t>.</w:t>
      </w:r>
      <w:r w:rsidR="007340E1" w:rsidRPr="00F371D7">
        <w:rPr>
          <w:rFonts w:asciiTheme="minorHAnsi" w:hAnsiTheme="minorHAnsi" w:cstheme="minorHAnsi"/>
          <w:sz w:val="20"/>
          <w:szCs w:val="20"/>
          <w:lang w:val="en-GB"/>
        </w:rPr>
        <w:t>1</w:t>
      </w:r>
      <w:r w:rsidRPr="00F371D7">
        <w:rPr>
          <w:rFonts w:asciiTheme="minorHAnsi" w:hAnsiTheme="minorHAnsi" w:cstheme="minorHAnsi"/>
          <w:sz w:val="20"/>
          <w:szCs w:val="20"/>
          <w:lang w:val="en-GB"/>
        </w:rPr>
        <w:t>.5.7</w:t>
      </w:r>
      <w:r w:rsidRPr="00A8106A">
        <w:rPr>
          <w:rFonts w:asciiTheme="minorHAnsi" w:hAnsiTheme="minorHAnsi" w:cstheme="minorHAnsi"/>
          <w:sz w:val="20"/>
          <w:szCs w:val="20"/>
          <w:lang w:val="en-GB"/>
        </w:rPr>
        <w:t>)</w:t>
      </w:r>
      <w:r w:rsidRPr="00A8106A">
        <w:rPr>
          <w:rFonts w:cs="Verdana"/>
          <w:sz w:val="20"/>
          <w:szCs w:val="20"/>
          <w:lang w:val="en-GB"/>
        </w:rPr>
        <w:t>:</w:t>
      </w:r>
    </w:p>
    <w:p w14:paraId="0BAA5C19" w14:textId="68F06E4E" w:rsidR="00B85BF3" w:rsidRPr="00E00FC7" w:rsidRDefault="00E00FC7" w:rsidP="00E76051">
      <w:pPr>
        <w:pStyle w:val="ListParagraph"/>
        <w:numPr>
          <w:ilvl w:val="0"/>
          <w:numId w:val="41"/>
        </w:numPr>
        <w:spacing w:after="0" w:line="240" w:lineRule="auto"/>
        <w:ind w:left="1775" w:hanging="357"/>
        <w:jc w:val="both"/>
        <w:rPr>
          <w:rFonts w:cs="Verdana"/>
          <w:i/>
          <w:sz w:val="20"/>
          <w:szCs w:val="20"/>
          <w:lang w:val="en-GB"/>
        </w:rPr>
      </w:pPr>
      <w:r w:rsidRPr="00E00FC7">
        <w:rPr>
          <w:rFonts w:cs="Verdana"/>
          <w:i/>
          <w:sz w:val="20"/>
          <w:szCs w:val="20"/>
          <w:lang w:val="en-GB"/>
        </w:rPr>
        <w:t>Allocation of a minimum amount of at least €2.5 million available to trading on Euronext Growth Oslo</w:t>
      </w:r>
      <w:r w:rsidR="00B85BF3" w:rsidRPr="00E00FC7">
        <w:rPr>
          <w:rFonts w:cs="Verdana"/>
          <w:sz w:val="20"/>
          <w:szCs w:val="20"/>
          <w:lang w:val="en-GB"/>
        </w:rPr>
        <w:t xml:space="preserve"> (ref. section 1.3.3.1 above),</w:t>
      </w:r>
    </w:p>
    <w:p w14:paraId="47521D42" w14:textId="77777777" w:rsidR="00B85BF3" w:rsidRDefault="009F1B17" w:rsidP="00E76051">
      <w:pPr>
        <w:pStyle w:val="ListParagraph"/>
        <w:numPr>
          <w:ilvl w:val="0"/>
          <w:numId w:val="41"/>
        </w:numPr>
        <w:spacing w:after="0" w:line="240" w:lineRule="auto"/>
        <w:ind w:left="1775" w:hanging="357"/>
        <w:jc w:val="both"/>
        <w:rPr>
          <w:rFonts w:cs="Verdana"/>
          <w:sz w:val="20"/>
          <w:szCs w:val="20"/>
          <w:lang w:val="en-GB"/>
        </w:rPr>
      </w:pPr>
      <w:r w:rsidRPr="00B85BF3">
        <w:rPr>
          <w:rFonts w:cs="Verdana"/>
          <w:i/>
          <w:sz w:val="20"/>
          <w:szCs w:val="20"/>
          <w:lang w:val="en-GB"/>
        </w:rPr>
        <w:t>15 % spread of Share ownership</w:t>
      </w:r>
      <w:r w:rsidRPr="00B85BF3">
        <w:rPr>
          <w:rFonts w:cs="Verdana"/>
          <w:sz w:val="20"/>
          <w:szCs w:val="20"/>
          <w:lang w:val="en-GB"/>
        </w:rPr>
        <w:t xml:space="preserve"> (ref. section 1.3.3.2 above), and </w:t>
      </w:r>
    </w:p>
    <w:p w14:paraId="16766C37" w14:textId="42275358" w:rsidR="009F1B17" w:rsidRDefault="00B85BF3" w:rsidP="00E76051">
      <w:pPr>
        <w:pStyle w:val="ListParagraph"/>
        <w:numPr>
          <w:ilvl w:val="0"/>
          <w:numId w:val="41"/>
        </w:numPr>
        <w:spacing w:after="0" w:line="240" w:lineRule="auto"/>
        <w:ind w:left="1775" w:hanging="357"/>
        <w:jc w:val="both"/>
        <w:rPr>
          <w:rFonts w:cs="Verdana"/>
          <w:sz w:val="20"/>
          <w:szCs w:val="20"/>
          <w:lang w:val="en-GB"/>
        </w:rPr>
      </w:pPr>
      <w:r w:rsidRPr="00B85BF3">
        <w:rPr>
          <w:rFonts w:cs="Verdana"/>
          <w:i/>
          <w:sz w:val="20"/>
          <w:szCs w:val="20"/>
          <w:lang w:val="en-GB"/>
        </w:rPr>
        <w:t>N</w:t>
      </w:r>
      <w:r w:rsidR="009F1B17" w:rsidRPr="00B85BF3">
        <w:rPr>
          <w:rFonts w:cs="Verdana"/>
          <w:i/>
          <w:sz w:val="20"/>
          <w:szCs w:val="20"/>
          <w:lang w:val="en-GB"/>
        </w:rPr>
        <w:t>umber of shareholders</w:t>
      </w:r>
      <w:r w:rsidR="009F1B17" w:rsidRPr="00B85BF3">
        <w:rPr>
          <w:rFonts w:cs="Verdana"/>
          <w:sz w:val="20"/>
          <w:szCs w:val="20"/>
          <w:lang w:val="en-GB"/>
        </w:rPr>
        <w:t xml:space="preserve"> (ref. section 1.3.3.</w:t>
      </w:r>
      <w:r w:rsidRPr="00B85BF3">
        <w:rPr>
          <w:rFonts w:cs="Verdana"/>
          <w:sz w:val="20"/>
          <w:szCs w:val="20"/>
          <w:lang w:val="en-GB"/>
        </w:rPr>
        <w:t>4</w:t>
      </w:r>
      <w:r w:rsidR="009F1B17" w:rsidRPr="00B85BF3">
        <w:rPr>
          <w:rFonts w:cs="Verdana"/>
          <w:sz w:val="20"/>
          <w:szCs w:val="20"/>
          <w:lang w:val="en-GB"/>
        </w:rPr>
        <w:t xml:space="preserve"> above)</w:t>
      </w:r>
      <w:r>
        <w:rPr>
          <w:rFonts w:cs="Verdana"/>
          <w:sz w:val="20"/>
          <w:szCs w:val="20"/>
          <w:lang w:val="en-GB"/>
        </w:rPr>
        <w:t>.</w:t>
      </w:r>
      <w:r w:rsidR="009F1B17" w:rsidRPr="00B85BF3">
        <w:rPr>
          <w:rFonts w:cs="Verdana"/>
          <w:sz w:val="20"/>
          <w:szCs w:val="20"/>
          <w:lang w:val="en-GB"/>
        </w:rPr>
        <w:t xml:space="preserve"> </w:t>
      </w:r>
    </w:p>
    <w:p w14:paraId="79B52F9B" w14:textId="77777777" w:rsidR="00B85BF3" w:rsidRPr="00B85BF3" w:rsidRDefault="00B85BF3" w:rsidP="00E76051">
      <w:pPr>
        <w:pStyle w:val="ListParagraph"/>
        <w:spacing w:after="0" w:line="240" w:lineRule="auto"/>
        <w:ind w:left="1775"/>
        <w:jc w:val="both"/>
        <w:rPr>
          <w:rFonts w:cs="Verdana"/>
          <w:sz w:val="20"/>
          <w:szCs w:val="20"/>
          <w:lang w:val="en-GB"/>
        </w:rPr>
      </w:pPr>
    </w:p>
    <w:p w14:paraId="582240DD" w14:textId="77777777" w:rsidR="009F1B17" w:rsidRPr="00A8106A" w:rsidRDefault="009F1B17" w:rsidP="00E76051">
      <w:pPr>
        <w:pStyle w:val="test"/>
        <w:numPr>
          <w:ilvl w:val="0"/>
          <w:numId w:val="19"/>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 xml:space="preserve">Please state the proportion of the Issuer’s Share capital subject to admission to trading that is registered in the VPS. </w:t>
      </w:r>
    </w:p>
    <w:p w14:paraId="351F31AE" w14:textId="77777777" w:rsidR="009F1B17" w:rsidRPr="00A8106A" w:rsidRDefault="009F1B17" w:rsidP="00E76051">
      <w:pPr>
        <w:pStyle w:val="test"/>
        <w:numPr>
          <w:ilvl w:val="0"/>
          <w:numId w:val="19"/>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If the Shares are to be registered via a depository arrangement, please state this. Further, please inform whether it will be Depository Receipts rather than Shares that may be traded on Euronext Growth Oslo.</w:t>
      </w:r>
    </w:p>
    <w:p w14:paraId="08C1C06C" w14:textId="77777777" w:rsidR="009F1B17" w:rsidRPr="00973E5E" w:rsidRDefault="009F1B17" w:rsidP="009F1B17">
      <w:pPr>
        <w:pStyle w:val="test"/>
        <w:spacing w:after="0" w:line="240" w:lineRule="auto"/>
        <w:rPr>
          <w:rFonts w:asciiTheme="minorHAnsi" w:hAnsiTheme="minorHAnsi" w:cstheme="minorHAnsi"/>
          <w:sz w:val="20"/>
          <w:lang w:val="en-US"/>
        </w:rPr>
      </w:pPr>
    </w:p>
    <w:p w14:paraId="0BFFAB68" w14:textId="77777777" w:rsidR="009F1B17" w:rsidRPr="009F1B17" w:rsidRDefault="009F1B17" w:rsidP="009F1B17">
      <w:pPr>
        <w:rPr>
          <w:b/>
          <w:sz w:val="20"/>
          <w:lang w:val="en-US"/>
        </w:rPr>
      </w:pPr>
      <w:r w:rsidRPr="009F1B17">
        <w:rPr>
          <w:b/>
          <w:sz w:val="20"/>
          <w:lang w:val="en-US"/>
        </w:rPr>
        <w:t>Other information</w:t>
      </w:r>
    </w:p>
    <w:p w14:paraId="6A5F62C9" w14:textId="77777777" w:rsidR="009F1B17" w:rsidRPr="00A8106A" w:rsidRDefault="009F1B17" w:rsidP="009F1B17">
      <w:pPr>
        <w:rPr>
          <w:sz w:val="24"/>
          <w:lang w:val="en-US"/>
        </w:rPr>
      </w:pPr>
    </w:p>
    <w:p w14:paraId="6BDFF0AC" w14:textId="07E95031" w:rsidR="009F1B17" w:rsidRPr="00B01492" w:rsidRDefault="009F1B17" w:rsidP="00E76051">
      <w:pPr>
        <w:pStyle w:val="test"/>
        <w:numPr>
          <w:ilvl w:val="0"/>
          <w:numId w:val="16"/>
        </w:numPr>
        <w:spacing w:after="120" w:line="240" w:lineRule="auto"/>
        <w:ind w:left="714" w:hanging="357"/>
        <w:jc w:val="both"/>
        <w:rPr>
          <w:rFonts w:asciiTheme="minorHAnsi" w:hAnsiTheme="minorHAnsi" w:cstheme="minorHAnsi"/>
          <w:sz w:val="20"/>
          <w:lang w:val="en-GB"/>
        </w:rPr>
      </w:pPr>
      <w:r w:rsidRPr="00A8106A">
        <w:rPr>
          <w:rFonts w:asciiTheme="minorHAnsi" w:hAnsiTheme="minorHAnsi" w:cstheme="minorHAnsi"/>
          <w:sz w:val="20"/>
          <w:lang w:val="en-GB"/>
        </w:rPr>
        <w:t>Please provide information on any options, warrants, or loans giving the right to require the Issuer to issue Shares</w:t>
      </w:r>
      <w:r w:rsidR="00A50169">
        <w:rPr>
          <w:rFonts w:asciiTheme="minorHAnsi" w:hAnsiTheme="minorHAnsi" w:cstheme="minorHAnsi"/>
          <w:sz w:val="20"/>
          <w:lang w:val="en-GB"/>
        </w:rPr>
        <w:t xml:space="preserve"> (and such rights’ dilutive effect)</w:t>
      </w:r>
      <w:r w:rsidRPr="00A8106A">
        <w:rPr>
          <w:rFonts w:asciiTheme="minorHAnsi" w:hAnsiTheme="minorHAnsi" w:cstheme="minorHAnsi"/>
          <w:sz w:val="20"/>
          <w:lang w:val="en-GB"/>
        </w:rPr>
        <w:t xml:space="preserve">, and </w:t>
      </w:r>
      <w:r w:rsidRPr="00F371D7">
        <w:rPr>
          <w:rFonts w:asciiTheme="minorHAnsi" w:hAnsiTheme="minorHAnsi" w:cstheme="minorHAnsi"/>
          <w:sz w:val="20"/>
          <w:lang w:val="en-GB"/>
        </w:rPr>
        <w:t xml:space="preserve">any subordinated debt or transferable securities issued by the Issuer (cf. Notice </w:t>
      </w:r>
      <w:r w:rsidR="007340E1" w:rsidRPr="00F371D7">
        <w:rPr>
          <w:rFonts w:asciiTheme="minorHAnsi" w:hAnsiTheme="minorHAnsi" w:cstheme="minorHAnsi"/>
          <w:sz w:val="20"/>
          <w:lang w:val="en-GB"/>
        </w:rPr>
        <w:t>2</w:t>
      </w:r>
      <w:r w:rsidRPr="00F371D7">
        <w:rPr>
          <w:rFonts w:asciiTheme="minorHAnsi" w:hAnsiTheme="minorHAnsi" w:cstheme="minorHAnsi"/>
          <w:sz w:val="20"/>
          <w:lang w:val="en-GB"/>
        </w:rPr>
        <w:t>.</w:t>
      </w:r>
      <w:r w:rsidR="007340E1" w:rsidRPr="00F371D7">
        <w:rPr>
          <w:rFonts w:asciiTheme="minorHAnsi" w:hAnsiTheme="minorHAnsi" w:cstheme="minorHAnsi"/>
          <w:sz w:val="20"/>
          <w:lang w:val="en-GB"/>
        </w:rPr>
        <w:t>2</w:t>
      </w:r>
      <w:r w:rsidRPr="00F371D7">
        <w:rPr>
          <w:rFonts w:asciiTheme="minorHAnsi" w:hAnsiTheme="minorHAnsi" w:cstheme="minorHAnsi"/>
          <w:sz w:val="20"/>
          <w:lang w:val="en-GB"/>
        </w:rPr>
        <w:t xml:space="preserve"> section 2 (2) item 15).</w:t>
      </w:r>
      <w:r w:rsidR="00A50169">
        <w:rPr>
          <w:rFonts w:asciiTheme="minorHAnsi" w:hAnsiTheme="minorHAnsi" w:cstheme="minorHAnsi"/>
          <w:sz w:val="20"/>
          <w:lang w:val="en-GB"/>
        </w:rPr>
        <w:t xml:space="preserve"> </w:t>
      </w:r>
    </w:p>
    <w:p w14:paraId="20D324B1" w14:textId="64EAD017" w:rsidR="009F1B17" w:rsidRDefault="009F1B17" w:rsidP="009F1B17">
      <w:pPr>
        <w:pStyle w:val="test"/>
        <w:spacing w:after="0"/>
        <w:rPr>
          <w:sz w:val="20"/>
          <w:lang w:val="en-US"/>
        </w:rPr>
      </w:pPr>
    </w:p>
    <w:tbl>
      <w:tblPr>
        <w:tblStyle w:val="TableGrid"/>
        <w:tblW w:w="0" w:type="auto"/>
        <w:tblLook w:val="04A0" w:firstRow="1" w:lastRow="0" w:firstColumn="1" w:lastColumn="0" w:noHBand="0" w:noVBand="1"/>
      </w:tblPr>
      <w:tblGrid>
        <w:gridCol w:w="9060"/>
      </w:tblGrid>
      <w:tr w:rsidR="009F1B17" w:rsidRPr="00706E66" w14:paraId="4994E10A" w14:textId="77777777" w:rsidTr="009F1B17">
        <w:tc>
          <w:tcPr>
            <w:tcW w:w="9060" w:type="dxa"/>
            <w:shd w:val="clear" w:color="auto" w:fill="F2F2F2" w:themeFill="background1" w:themeFillShade="F2"/>
          </w:tcPr>
          <w:p w14:paraId="1F3DF1ED" w14:textId="32AB3615" w:rsidR="009F1B17" w:rsidRPr="008C2894" w:rsidRDefault="009F1B17" w:rsidP="009F1B17">
            <w:pPr>
              <w:rPr>
                <w:rFonts w:eastAsiaTheme="minorEastAsia"/>
                <w:b/>
                <w:sz w:val="18"/>
                <w:szCs w:val="18"/>
                <w:lang w:val="en-GB"/>
              </w:rPr>
            </w:pPr>
            <w:r w:rsidRPr="008C2894">
              <w:rPr>
                <w:rFonts w:eastAsiaTheme="minorEastAsia"/>
                <w:b/>
                <w:sz w:val="18"/>
                <w:szCs w:val="18"/>
                <w:lang w:val="en-GB"/>
              </w:rPr>
              <w:t xml:space="preserve">Conclusion </w:t>
            </w:r>
            <w:r w:rsidR="00B01492" w:rsidRPr="008C2894">
              <w:rPr>
                <w:rFonts w:eastAsiaTheme="minorEastAsia"/>
                <w:b/>
                <w:sz w:val="18"/>
                <w:szCs w:val="18"/>
                <w:lang w:val="en-GB"/>
              </w:rPr>
              <w:t xml:space="preserve">– </w:t>
            </w:r>
            <w:r w:rsidRPr="008C2894">
              <w:rPr>
                <w:rFonts w:eastAsiaTheme="minorEastAsia"/>
                <w:b/>
                <w:sz w:val="18"/>
                <w:szCs w:val="18"/>
                <w:lang w:val="en-GB"/>
              </w:rPr>
              <w:t>Shares</w:t>
            </w:r>
          </w:p>
          <w:p w14:paraId="2676D655" w14:textId="77777777" w:rsidR="009F1B17" w:rsidRPr="008C2894" w:rsidRDefault="009F1B17" w:rsidP="009F1B17">
            <w:pPr>
              <w:rPr>
                <w:rFonts w:eastAsiaTheme="minorEastAsia"/>
                <w:b/>
                <w:sz w:val="18"/>
                <w:szCs w:val="18"/>
                <w:lang w:val="en-GB"/>
              </w:rPr>
            </w:pPr>
          </w:p>
          <w:p w14:paraId="07044342" w14:textId="1E74F76D" w:rsidR="009F1B17" w:rsidRDefault="009F1B17" w:rsidP="008C2894">
            <w:pPr>
              <w:pStyle w:val="test"/>
              <w:spacing w:after="120" w:line="240" w:lineRule="auto"/>
              <w:jc w:val="center"/>
              <w:rPr>
                <w:rFonts w:asciiTheme="minorHAnsi" w:hAnsiTheme="minorHAnsi" w:cstheme="minorHAnsi"/>
                <w:sz w:val="20"/>
                <w:lang w:val="en-GB"/>
              </w:rPr>
            </w:pPr>
            <w:r w:rsidRPr="008C2894">
              <w:rPr>
                <w:b/>
                <w:sz w:val="18"/>
                <w:szCs w:val="18"/>
                <w:lang w:val="en-GB"/>
              </w:rPr>
              <w:t>--------------------------- Reserved for Oslo Børs ---------------------------</w:t>
            </w:r>
          </w:p>
        </w:tc>
      </w:tr>
    </w:tbl>
    <w:p w14:paraId="1B869FFE" w14:textId="77777777" w:rsidR="009F1B17" w:rsidRDefault="009F1B17" w:rsidP="009F1B17">
      <w:pPr>
        <w:pStyle w:val="test"/>
        <w:spacing w:after="120" w:line="240" w:lineRule="auto"/>
        <w:rPr>
          <w:rFonts w:asciiTheme="minorHAnsi" w:hAnsiTheme="minorHAnsi" w:cstheme="minorHAnsi"/>
          <w:sz w:val="20"/>
          <w:lang w:val="en-GB"/>
        </w:rPr>
      </w:pPr>
    </w:p>
    <w:p w14:paraId="2B37E924" w14:textId="32BB6F34" w:rsidR="0090231C" w:rsidRPr="00A76040" w:rsidRDefault="00A432C1" w:rsidP="009F1B17">
      <w:pPr>
        <w:pStyle w:val="Heading2"/>
      </w:pPr>
      <w:r>
        <w:t>O</w:t>
      </w:r>
      <w:r w:rsidR="009F1B17">
        <w:t>ther requirements for admission to trading</w:t>
      </w:r>
    </w:p>
    <w:p w14:paraId="1AF7D65C" w14:textId="5514831D" w:rsidR="00250739" w:rsidRPr="00B01492" w:rsidRDefault="009F1B17" w:rsidP="009F1B17">
      <w:pPr>
        <w:pStyle w:val="Heading3"/>
        <w:rPr>
          <w:sz w:val="20"/>
          <w:szCs w:val="20"/>
        </w:rPr>
      </w:pPr>
      <w:r w:rsidRPr="00B01492">
        <w:rPr>
          <w:sz w:val="20"/>
          <w:szCs w:val="20"/>
        </w:rPr>
        <w:t>Transactions with close associates, patents, legal proceedings, etc.</w:t>
      </w:r>
    </w:p>
    <w:p w14:paraId="61CE1741" w14:textId="77777777" w:rsidR="009F1B17" w:rsidRPr="00A8106A" w:rsidRDefault="009F1B17" w:rsidP="009F1B17">
      <w:pPr>
        <w:rPr>
          <w:sz w:val="20"/>
          <w:szCs w:val="18"/>
          <w:u w:val="single"/>
          <w:lang w:val="en-US"/>
        </w:rPr>
      </w:pPr>
      <w:r w:rsidRPr="00A8106A">
        <w:rPr>
          <w:sz w:val="20"/>
          <w:szCs w:val="18"/>
          <w:u w:val="single"/>
          <w:lang w:val="en-US"/>
        </w:rPr>
        <w:t xml:space="preserve">Business-critical agreements, patents, etc. </w:t>
      </w:r>
    </w:p>
    <w:p w14:paraId="3A5EFF57" w14:textId="77777777" w:rsidR="009F1B17" w:rsidRPr="00A8106A" w:rsidRDefault="009F1B17" w:rsidP="009F1B17">
      <w:pPr>
        <w:rPr>
          <w:sz w:val="20"/>
          <w:szCs w:val="18"/>
          <w:lang w:val="en-US"/>
        </w:rPr>
      </w:pPr>
    </w:p>
    <w:p w14:paraId="69768791" w14:textId="24628571" w:rsidR="009F1B17" w:rsidRPr="00A8106A" w:rsidRDefault="009F1B17" w:rsidP="00E76051">
      <w:pPr>
        <w:pStyle w:val="test"/>
        <w:numPr>
          <w:ilvl w:val="0"/>
          <w:numId w:val="21"/>
        </w:numPr>
        <w:spacing w:after="120" w:line="240" w:lineRule="auto"/>
        <w:ind w:left="714" w:hanging="357"/>
        <w:jc w:val="both"/>
        <w:rPr>
          <w:rFonts w:asciiTheme="minorHAnsi" w:hAnsiTheme="minorHAnsi"/>
          <w:sz w:val="20"/>
          <w:szCs w:val="18"/>
          <w:lang w:val="en-GB"/>
        </w:rPr>
      </w:pPr>
      <w:r w:rsidRPr="00A8106A">
        <w:rPr>
          <w:rFonts w:asciiTheme="minorHAnsi" w:hAnsiTheme="minorHAnsi"/>
          <w:sz w:val="20"/>
          <w:szCs w:val="18"/>
          <w:lang w:val="en-GB"/>
        </w:rPr>
        <w:t xml:space="preserve">Please provide information on other relevant circumstances, including business-critical agreements and patents, that may be </w:t>
      </w:r>
      <w:r w:rsidRPr="005D43B3">
        <w:rPr>
          <w:rFonts w:asciiTheme="minorHAnsi" w:hAnsiTheme="minorHAnsi"/>
          <w:sz w:val="20"/>
          <w:szCs w:val="18"/>
          <w:lang w:val="en-GB"/>
        </w:rPr>
        <w:t xml:space="preserve">material to assessing the admission of the Issuer to trading (cf. </w:t>
      </w:r>
      <w:r w:rsidRPr="005D43B3">
        <w:rPr>
          <w:rFonts w:asciiTheme="minorHAnsi" w:hAnsiTheme="minorHAnsi" w:cstheme="minorHAnsi"/>
          <w:sz w:val="20"/>
          <w:szCs w:val="18"/>
          <w:lang w:val="en-GB"/>
        </w:rPr>
        <w:t xml:space="preserve">Notice </w:t>
      </w:r>
      <w:r w:rsidR="007340E1" w:rsidRPr="005D43B3">
        <w:rPr>
          <w:rFonts w:asciiTheme="minorHAnsi" w:hAnsiTheme="minorHAnsi" w:cstheme="minorHAnsi"/>
          <w:sz w:val="20"/>
          <w:szCs w:val="18"/>
          <w:lang w:val="en-GB"/>
        </w:rPr>
        <w:t>2</w:t>
      </w:r>
      <w:r w:rsidRPr="005D43B3">
        <w:rPr>
          <w:rFonts w:asciiTheme="minorHAnsi" w:hAnsiTheme="minorHAnsi" w:cstheme="minorHAnsi"/>
          <w:sz w:val="20"/>
          <w:szCs w:val="18"/>
          <w:lang w:val="en-GB"/>
        </w:rPr>
        <w:t>.</w:t>
      </w:r>
      <w:r w:rsidR="007340E1" w:rsidRPr="005D43B3">
        <w:rPr>
          <w:rFonts w:asciiTheme="minorHAnsi" w:hAnsiTheme="minorHAnsi" w:cstheme="minorHAnsi"/>
          <w:sz w:val="20"/>
          <w:szCs w:val="18"/>
          <w:lang w:val="en-GB"/>
        </w:rPr>
        <w:t>2</w:t>
      </w:r>
      <w:r w:rsidRPr="005D43B3">
        <w:rPr>
          <w:rFonts w:asciiTheme="minorHAnsi" w:hAnsiTheme="minorHAnsi" w:cstheme="minorHAnsi"/>
          <w:sz w:val="20"/>
          <w:szCs w:val="18"/>
          <w:lang w:val="en-GB"/>
        </w:rPr>
        <w:t xml:space="preserve"> section 2 (2) item 11)</w:t>
      </w:r>
      <w:r w:rsidRPr="005D43B3">
        <w:rPr>
          <w:rFonts w:asciiTheme="minorHAnsi" w:hAnsiTheme="minorHAnsi"/>
          <w:sz w:val="20"/>
          <w:szCs w:val="18"/>
          <w:lang w:val="en-GB"/>
        </w:rPr>
        <w:t xml:space="preserve">. Reference is also made to Notice </w:t>
      </w:r>
      <w:r w:rsidR="007340E1" w:rsidRPr="005D43B3">
        <w:rPr>
          <w:rFonts w:asciiTheme="minorHAnsi" w:hAnsiTheme="minorHAnsi"/>
          <w:sz w:val="20"/>
          <w:szCs w:val="18"/>
          <w:lang w:val="en-GB"/>
        </w:rPr>
        <w:t>2</w:t>
      </w:r>
      <w:r w:rsidRPr="005D43B3">
        <w:rPr>
          <w:rFonts w:asciiTheme="minorHAnsi" w:hAnsiTheme="minorHAnsi"/>
          <w:sz w:val="20"/>
          <w:szCs w:val="18"/>
          <w:lang w:val="en-GB"/>
        </w:rPr>
        <w:t>.</w:t>
      </w:r>
      <w:r w:rsidR="007340E1" w:rsidRPr="005D43B3">
        <w:rPr>
          <w:rFonts w:asciiTheme="minorHAnsi" w:hAnsiTheme="minorHAnsi"/>
          <w:sz w:val="20"/>
          <w:szCs w:val="18"/>
          <w:lang w:val="en-GB"/>
        </w:rPr>
        <w:t>2</w:t>
      </w:r>
      <w:r w:rsidRPr="005D43B3">
        <w:rPr>
          <w:rFonts w:asciiTheme="minorHAnsi" w:hAnsiTheme="minorHAnsi"/>
          <w:sz w:val="20"/>
          <w:szCs w:val="18"/>
          <w:lang w:val="en-GB"/>
        </w:rPr>
        <w:t xml:space="preserve"> section 9. If this is not relevant, please provide a confirmation to this effect</w:t>
      </w:r>
      <w:r w:rsidRPr="00A8106A">
        <w:rPr>
          <w:rFonts w:asciiTheme="minorHAnsi" w:hAnsiTheme="minorHAnsi"/>
          <w:sz w:val="20"/>
          <w:szCs w:val="18"/>
          <w:lang w:val="en-GB"/>
        </w:rPr>
        <w:t>.</w:t>
      </w:r>
    </w:p>
    <w:p w14:paraId="033BB326" w14:textId="77777777" w:rsidR="009F1B17" w:rsidRPr="00A8106A" w:rsidRDefault="009F1B17" w:rsidP="009F1B17">
      <w:pPr>
        <w:rPr>
          <w:sz w:val="20"/>
          <w:szCs w:val="18"/>
          <w:u w:val="single"/>
          <w:lang w:val="en-US"/>
        </w:rPr>
      </w:pPr>
      <w:r w:rsidRPr="00A8106A">
        <w:rPr>
          <w:sz w:val="20"/>
          <w:szCs w:val="18"/>
          <w:u w:val="single"/>
          <w:lang w:val="en-US"/>
        </w:rPr>
        <w:t>Transactions with close associates</w:t>
      </w:r>
    </w:p>
    <w:p w14:paraId="24547ABE" w14:textId="77777777" w:rsidR="009F1B17" w:rsidRPr="00A8106A" w:rsidRDefault="009F1B17" w:rsidP="009F1B17">
      <w:pPr>
        <w:rPr>
          <w:sz w:val="20"/>
          <w:szCs w:val="18"/>
          <w:lang w:val="en-US"/>
        </w:rPr>
      </w:pPr>
    </w:p>
    <w:p w14:paraId="57F59EDF" w14:textId="00F8A790" w:rsidR="009F1B17" w:rsidRPr="005D43B3" w:rsidRDefault="009F1B17" w:rsidP="00E76051">
      <w:pPr>
        <w:pStyle w:val="test"/>
        <w:numPr>
          <w:ilvl w:val="0"/>
          <w:numId w:val="21"/>
        </w:numPr>
        <w:spacing w:after="120" w:line="240" w:lineRule="auto"/>
        <w:jc w:val="both"/>
        <w:rPr>
          <w:rFonts w:asciiTheme="minorHAnsi" w:hAnsiTheme="minorHAnsi"/>
          <w:sz w:val="20"/>
          <w:szCs w:val="18"/>
          <w:lang w:val="en-US"/>
        </w:rPr>
      </w:pPr>
      <w:r w:rsidRPr="00A8106A">
        <w:rPr>
          <w:rFonts w:asciiTheme="minorHAnsi" w:hAnsiTheme="minorHAnsi"/>
          <w:sz w:val="20"/>
          <w:szCs w:val="18"/>
          <w:lang w:val="en-GB"/>
        </w:rPr>
        <w:t xml:space="preserve">Please provide a </w:t>
      </w:r>
      <w:r w:rsidRPr="009E5781">
        <w:rPr>
          <w:rFonts w:asciiTheme="minorHAnsi" w:hAnsiTheme="minorHAnsi"/>
          <w:sz w:val="20"/>
          <w:szCs w:val="18"/>
          <w:lang w:val="en-GB"/>
        </w:rPr>
        <w:t>description of transactions that</w:t>
      </w:r>
      <w:r w:rsidRPr="00A8106A">
        <w:rPr>
          <w:rFonts w:asciiTheme="minorHAnsi" w:hAnsiTheme="minorHAnsi"/>
          <w:sz w:val="20"/>
          <w:szCs w:val="18"/>
          <w:lang w:val="en-GB"/>
        </w:rPr>
        <w:t xml:space="preserve"> the Issuer has entered into or is in the process of entering into with close associates, that may be material to assessing the admission of the Issuer’s Shares to </w:t>
      </w:r>
      <w:r w:rsidRPr="005D43B3">
        <w:rPr>
          <w:rFonts w:asciiTheme="minorHAnsi" w:hAnsiTheme="minorHAnsi"/>
          <w:sz w:val="20"/>
          <w:szCs w:val="18"/>
          <w:lang w:val="en-GB"/>
        </w:rPr>
        <w:t xml:space="preserve">trading (cf. Notice </w:t>
      </w:r>
      <w:r w:rsidR="007340E1" w:rsidRPr="005D43B3">
        <w:rPr>
          <w:rFonts w:asciiTheme="minorHAnsi" w:hAnsiTheme="minorHAnsi"/>
          <w:sz w:val="20"/>
          <w:szCs w:val="18"/>
          <w:lang w:val="en-GB"/>
        </w:rPr>
        <w:t>2</w:t>
      </w:r>
      <w:r w:rsidRPr="005D43B3">
        <w:rPr>
          <w:rFonts w:asciiTheme="minorHAnsi" w:hAnsiTheme="minorHAnsi"/>
          <w:sz w:val="20"/>
          <w:szCs w:val="18"/>
          <w:lang w:val="en-GB"/>
        </w:rPr>
        <w:t>.</w:t>
      </w:r>
      <w:r w:rsidR="007340E1" w:rsidRPr="005D43B3">
        <w:rPr>
          <w:rFonts w:asciiTheme="minorHAnsi" w:hAnsiTheme="minorHAnsi"/>
          <w:sz w:val="20"/>
          <w:szCs w:val="18"/>
          <w:lang w:val="en-GB"/>
        </w:rPr>
        <w:t>2</w:t>
      </w:r>
      <w:r w:rsidRPr="005D43B3">
        <w:rPr>
          <w:rFonts w:asciiTheme="minorHAnsi" w:hAnsiTheme="minorHAnsi"/>
          <w:sz w:val="20"/>
          <w:szCs w:val="18"/>
          <w:lang w:val="en-GB"/>
        </w:rPr>
        <w:t xml:space="preserve"> section 2 (2) item 12). </w:t>
      </w:r>
      <w:r w:rsidRPr="005D43B3">
        <w:rPr>
          <w:rFonts w:asciiTheme="minorHAnsi" w:hAnsiTheme="minorHAnsi"/>
          <w:sz w:val="20"/>
          <w:szCs w:val="18"/>
          <w:lang w:val="en-US"/>
        </w:rPr>
        <w:t>If not relevant, state this.</w:t>
      </w:r>
    </w:p>
    <w:p w14:paraId="04DCA54F" w14:textId="66C7DB79" w:rsidR="009F1B17" w:rsidRPr="005D43B3" w:rsidRDefault="009F1B17" w:rsidP="00E76051">
      <w:pPr>
        <w:pStyle w:val="test"/>
        <w:numPr>
          <w:ilvl w:val="0"/>
          <w:numId w:val="21"/>
        </w:numPr>
        <w:spacing w:after="120" w:line="240" w:lineRule="auto"/>
        <w:jc w:val="both"/>
        <w:rPr>
          <w:rFonts w:asciiTheme="minorHAnsi" w:hAnsiTheme="minorHAnsi"/>
          <w:sz w:val="20"/>
          <w:szCs w:val="18"/>
          <w:lang w:val="en-US"/>
        </w:rPr>
      </w:pPr>
      <w:r w:rsidRPr="005D43B3">
        <w:rPr>
          <w:rFonts w:asciiTheme="minorHAnsi" w:hAnsiTheme="minorHAnsi"/>
          <w:sz w:val="20"/>
          <w:szCs w:val="18"/>
          <w:lang w:val="en-US"/>
        </w:rPr>
        <w:t xml:space="preserve">Please confirm that such agreements are entered into on arm’s length terms </w:t>
      </w:r>
      <w:r w:rsidRPr="005D43B3">
        <w:rPr>
          <w:rFonts w:asciiTheme="minorHAnsi" w:hAnsiTheme="minorHAnsi"/>
          <w:sz w:val="20"/>
          <w:szCs w:val="18"/>
          <w:lang w:val="en-GB"/>
        </w:rPr>
        <w:t xml:space="preserve">(cf. Notice </w:t>
      </w:r>
      <w:r w:rsidR="007340E1" w:rsidRPr="005D43B3">
        <w:rPr>
          <w:rFonts w:asciiTheme="minorHAnsi" w:hAnsiTheme="minorHAnsi"/>
          <w:sz w:val="20"/>
          <w:szCs w:val="18"/>
          <w:lang w:val="en-GB"/>
        </w:rPr>
        <w:t>2</w:t>
      </w:r>
      <w:r w:rsidRPr="005D43B3">
        <w:rPr>
          <w:rFonts w:asciiTheme="minorHAnsi" w:hAnsiTheme="minorHAnsi"/>
          <w:sz w:val="20"/>
          <w:szCs w:val="18"/>
          <w:lang w:val="en-GB"/>
        </w:rPr>
        <w:t>.</w:t>
      </w:r>
      <w:r w:rsidR="007340E1" w:rsidRPr="005D43B3">
        <w:rPr>
          <w:rFonts w:asciiTheme="minorHAnsi" w:hAnsiTheme="minorHAnsi"/>
          <w:sz w:val="20"/>
          <w:szCs w:val="18"/>
          <w:lang w:val="en-GB"/>
        </w:rPr>
        <w:t>2</w:t>
      </w:r>
      <w:r w:rsidRPr="005D43B3">
        <w:rPr>
          <w:rFonts w:asciiTheme="minorHAnsi" w:hAnsiTheme="minorHAnsi"/>
          <w:sz w:val="20"/>
          <w:szCs w:val="18"/>
          <w:lang w:val="en-GB"/>
        </w:rPr>
        <w:t xml:space="preserve"> section 2 (2) item 12)</w:t>
      </w:r>
      <w:r w:rsidRPr="005D43B3">
        <w:rPr>
          <w:rFonts w:asciiTheme="minorHAnsi" w:hAnsiTheme="minorHAnsi"/>
          <w:sz w:val="20"/>
          <w:szCs w:val="18"/>
          <w:lang w:val="en-US"/>
        </w:rPr>
        <w:t>.</w:t>
      </w:r>
    </w:p>
    <w:p w14:paraId="1FBE8871" w14:textId="77777777" w:rsidR="009F1B17" w:rsidRPr="00A8106A" w:rsidRDefault="009F1B17" w:rsidP="009F1B17">
      <w:pPr>
        <w:rPr>
          <w:sz w:val="20"/>
          <w:szCs w:val="18"/>
          <w:u w:val="single"/>
          <w:lang w:val="en-US"/>
        </w:rPr>
      </w:pPr>
      <w:r w:rsidRPr="00A8106A">
        <w:rPr>
          <w:sz w:val="20"/>
          <w:szCs w:val="18"/>
          <w:u w:val="single"/>
          <w:lang w:val="en-US"/>
        </w:rPr>
        <w:t>Legal proceedings</w:t>
      </w:r>
    </w:p>
    <w:p w14:paraId="6B850820" w14:textId="77777777" w:rsidR="009F1B17" w:rsidRPr="00A8106A" w:rsidRDefault="009F1B17" w:rsidP="009F1B17">
      <w:pPr>
        <w:rPr>
          <w:sz w:val="20"/>
          <w:szCs w:val="18"/>
          <w:lang w:val="en-US"/>
        </w:rPr>
      </w:pPr>
    </w:p>
    <w:p w14:paraId="6995B2DA" w14:textId="30FE5E90" w:rsidR="009F1B17" w:rsidRPr="00A8106A" w:rsidRDefault="009F1B17" w:rsidP="00E76051">
      <w:pPr>
        <w:pStyle w:val="test"/>
        <w:numPr>
          <w:ilvl w:val="0"/>
          <w:numId w:val="21"/>
        </w:numPr>
        <w:spacing w:after="120" w:line="240" w:lineRule="auto"/>
        <w:ind w:left="714" w:hanging="357"/>
        <w:jc w:val="both"/>
        <w:rPr>
          <w:rFonts w:asciiTheme="minorHAnsi" w:hAnsiTheme="minorHAnsi"/>
          <w:sz w:val="20"/>
          <w:szCs w:val="18"/>
          <w:lang w:val="en-GB"/>
        </w:rPr>
      </w:pPr>
      <w:r w:rsidRPr="00A8106A">
        <w:rPr>
          <w:rFonts w:asciiTheme="minorHAnsi" w:hAnsiTheme="minorHAnsi"/>
          <w:sz w:val="20"/>
          <w:szCs w:val="18"/>
          <w:lang w:val="en-GB"/>
        </w:rPr>
        <w:lastRenderedPageBreak/>
        <w:t xml:space="preserve">Please provide information on whether the Issuer is involved in or has received notice that it may be involved in any legal </w:t>
      </w:r>
      <w:r w:rsidRPr="005D43B3">
        <w:rPr>
          <w:rFonts w:asciiTheme="minorHAnsi" w:hAnsiTheme="minorHAnsi"/>
          <w:sz w:val="20"/>
          <w:szCs w:val="18"/>
          <w:lang w:val="en-GB"/>
        </w:rPr>
        <w:t xml:space="preserve">proceedings of such import that they may be of significance for the Issuer (cf. Notice </w:t>
      </w:r>
      <w:r w:rsidR="007340E1" w:rsidRPr="005D43B3">
        <w:rPr>
          <w:rFonts w:asciiTheme="minorHAnsi" w:hAnsiTheme="minorHAnsi"/>
          <w:sz w:val="20"/>
          <w:szCs w:val="18"/>
          <w:lang w:val="en-GB"/>
        </w:rPr>
        <w:t>2</w:t>
      </w:r>
      <w:r w:rsidRPr="005D43B3">
        <w:rPr>
          <w:rFonts w:asciiTheme="minorHAnsi" w:hAnsiTheme="minorHAnsi"/>
          <w:sz w:val="20"/>
          <w:szCs w:val="18"/>
          <w:lang w:val="en-GB"/>
        </w:rPr>
        <w:t>.</w:t>
      </w:r>
      <w:r w:rsidR="007340E1" w:rsidRPr="005D43B3">
        <w:rPr>
          <w:rFonts w:asciiTheme="minorHAnsi" w:hAnsiTheme="minorHAnsi"/>
          <w:sz w:val="20"/>
          <w:szCs w:val="18"/>
          <w:lang w:val="en-GB"/>
        </w:rPr>
        <w:t>2</w:t>
      </w:r>
      <w:r w:rsidRPr="005D43B3">
        <w:rPr>
          <w:rFonts w:asciiTheme="minorHAnsi" w:hAnsiTheme="minorHAnsi"/>
          <w:sz w:val="20"/>
          <w:szCs w:val="18"/>
          <w:lang w:val="en-GB"/>
        </w:rPr>
        <w:t xml:space="preserve"> section 2 (2) item 14</w:t>
      </w:r>
      <w:r w:rsidRPr="005D43B3">
        <w:rPr>
          <w:rFonts w:asciiTheme="minorHAnsi" w:hAnsiTheme="minorHAnsi" w:cstheme="minorHAnsi"/>
          <w:sz w:val="20"/>
          <w:szCs w:val="18"/>
          <w:lang w:val="en-GB"/>
        </w:rPr>
        <w:t>)</w:t>
      </w:r>
      <w:r w:rsidRPr="005D43B3">
        <w:rPr>
          <w:rFonts w:asciiTheme="minorHAnsi" w:hAnsiTheme="minorHAnsi"/>
          <w:sz w:val="20"/>
          <w:szCs w:val="18"/>
          <w:lang w:val="en-GB"/>
        </w:rPr>
        <w:t>. If</w:t>
      </w:r>
      <w:r w:rsidRPr="00A8106A">
        <w:rPr>
          <w:rFonts w:asciiTheme="minorHAnsi" w:hAnsiTheme="minorHAnsi"/>
          <w:sz w:val="20"/>
          <w:szCs w:val="18"/>
          <w:lang w:val="en-GB"/>
        </w:rPr>
        <w:t xml:space="preserve"> not relevant, state this.</w:t>
      </w:r>
    </w:p>
    <w:p w14:paraId="2EFB3F85" w14:textId="77777777" w:rsidR="009F1B17" w:rsidRPr="00A8106A" w:rsidRDefault="009F1B17" w:rsidP="009F1B17">
      <w:pPr>
        <w:rPr>
          <w:sz w:val="20"/>
          <w:szCs w:val="18"/>
          <w:u w:val="single"/>
          <w:lang w:val="en-US"/>
        </w:rPr>
      </w:pPr>
      <w:r w:rsidRPr="00A8106A">
        <w:rPr>
          <w:sz w:val="20"/>
          <w:szCs w:val="18"/>
          <w:u w:val="single"/>
          <w:lang w:val="en-US"/>
        </w:rPr>
        <w:t>Oil, gas and mining companies</w:t>
      </w:r>
    </w:p>
    <w:p w14:paraId="77C0A17D" w14:textId="77777777" w:rsidR="009F1B17" w:rsidRPr="00A8106A" w:rsidRDefault="009F1B17" w:rsidP="009F1B17">
      <w:pPr>
        <w:rPr>
          <w:sz w:val="20"/>
          <w:szCs w:val="18"/>
          <w:lang w:val="en-US"/>
        </w:rPr>
      </w:pPr>
    </w:p>
    <w:p w14:paraId="34001FE3" w14:textId="6092BF4B" w:rsidR="009F1B17" w:rsidRPr="00A8106A" w:rsidRDefault="009F1B17" w:rsidP="00E76051">
      <w:pPr>
        <w:pStyle w:val="test"/>
        <w:numPr>
          <w:ilvl w:val="0"/>
          <w:numId w:val="21"/>
        </w:numPr>
        <w:spacing w:after="120" w:line="240" w:lineRule="auto"/>
        <w:ind w:left="714" w:hanging="357"/>
        <w:jc w:val="both"/>
        <w:rPr>
          <w:rFonts w:asciiTheme="minorHAnsi" w:hAnsiTheme="minorHAnsi"/>
          <w:sz w:val="20"/>
          <w:szCs w:val="18"/>
          <w:lang w:val="en-GB"/>
        </w:rPr>
      </w:pPr>
      <w:r w:rsidRPr="00A8106A">
        <w:rPr>
          <w:rFonts w:asciiTheme="minorHAnsi" w:hAnsiTheme="minorHAnsi"/>
          <w:sz w:val="20"/>
          <w:szCs w:val="18"/>
          <w:lang w:val="en-GB"/>
        </w:rPr>
        <w:t xml:space="preserve">Please include any relevant statements of </w:t>
      </w:r>
      <w:r w:rsidRPr="005D43B3">
        <w:rPr>
          <w:rFonts w:asciiTheme="minorHAnsi" w:hAnsiTheme="minorHAnsi"/>
          <w:sz w:val="20"/>
          <w:szCs w:val="18"/>
          <w:lang w:val="en-GB"/>
        </w:rPr>
        <w:t xml:space="preserve">reserves (cf. Rule Book Part II section </w:t>
      </w:r>
      <w:r w:rsidR="007340E1" w:rsidRPr="005D43B3">
        <w:rPr>
          <w:rFonts w:asciiTheme="minorHAnsi" w:hAnsiTheme="minorHAnsi"/>
          <w:sz w:val="20"/>
          <w:szCs w:val="18"/>
          <w:lang w:val="en-GB"/>
        </w:rPr>
        <w:t>2</w:t>
      </w:r>
      <w:r w:rsidRPr="005D43B3">
        <w:rPr>
          <w:rFonts w:asciiTheme="minorHAnsi" w:hAnsiTheme="minorHAnsi"/>
          <w:sz w:val="20"/>
          <w:szCs w:val="18"/>
          <w:lang w:val="en-GB"/>
        </w:rPr>
        <w:t>.</w:t>
      </w:r>
      <w:r w:rsidR="007340E1" w:rsidRPr="005D43B3">
        <w:rPr>
          <w:rFonts w:asciiTheme="minorHAnsi" w:hAnsiTheme="minorHAnsi"/>
          <w:sz w:val="20"/>
          <w:szCs w:val="18"/>
          <w:lang w:val="en-GB"/>
        </w:rPr>
        <w:t>1</w:t>
      </w:r>
      <w:r w:rsidRPr="005D43B3">
        <w:rPr>
          <w:rFonts w:asciiTheme="minorHAnsi" w:hAnsiTheme="minorHAnsi"/>
          <w:sz w:val="20"/>
          <w:szCs w:val="18"/>
          <w:lang w:val="en-GB"/>
        </w:rPr>
        <w:t>.7).</w:t>
      </w:r>
      <w:r w:rsidRPr="00A8106A">
        <w:rPr>
          <w:rFonts w:asciiTheme="minorHAnsi" w:hAnsiTheme="minorHAnsi"/>
          <w:sz w:val="20"/>
          <w:szCs w:val="18"/>
          <w:lang w:val="en-GB"/>
        </w:rPr>
        <w:t xml:space="preserve"> </w:t>
      </w:r>
    </w:p>
    <w:p w14:paraId="03D41B77" w14:textId="6D46906E" w:rsidR="009F1B17" w:rsidRDefault="009F1B17" w:rsidP="009F1B17">
      <w:pPr>
        <w:rPr>
          <w:sz w:val="20"/>
          <w:szCs w:val="18"/>
          <w:u w:val="single"/>
          <w:lang w:val="en-US"/>
        </w:rPr>
      </w:pPr>
      <w:r w:rsidRPr="00A8106A">
        <w:rPr>
          <w:sz w:val="20"/>
          <w:szCs w:val="18"/>
          <w:lang w:val="en-GB"/>
        </w:rPr>
        <w:br/>
      </w:r>
      <w:r w:rsidRPr="00A8106A">
        <w:rPr>
          <w:sz w:val="20"/>
          <w:szCs w:val="18"/>
          <w:u w:val="single"/>
          <w:lang w:val="en-US"/>
        </w:rPr>
        <w:t>Further additional requirements</w:t>
      </w:r>
    </w:p>
    <w:p w14:paraId="471FACC5" w14:textId="77777777" w:rsidR="00B01492" w:rsidRPr="00A8106A" w:rsidRDefault="00B01492" w:rsidP="009F1B17">
      <w:pPr>
        <w:rPr>
          <w:sz w:val="20"/>
          <w:szCs w:val="18"/>
          <w:u w:val="single"/>
          <w:lang w:val="en-US"/>
        </w:rPr>
      </w:pPr>
    </w:p>
    <w:tbl>
      <w:tblPr>
        <w:tblStyle w:val="TableGrid"/>
        <w:tblW w:w="0" w:type="auto"/>
        <w:tblLook w:val="04A0" w:firstRow="1" w:lastRow="0" w:firstColumn="1" w:lastColumn="0" w:noHBand="0" w:noVBand="1"/>
      </w:tblPr>
      <w:tblGrid>
        <w:gridCol w:w="9060"/>
      </w:tblGrid>
      <w:tr w:rsidR="009F1B17" w:rsidRPr="00706E66" w14:paraId="3CEA2CBA" w14:textId="77777777" w:rsidTr="009F1B17">
        <w:tc>
          <w:tcPr>
            <w:tcW w:w="9060" w:type="dxa"/>
            <w:shd w:val="clear" w:color="auto" w:fill="F2F2F2" w:themeFill="background1" w:themeFillShade="F2"/>
          </w:tcPr>
          <w:p w14:paraId="20C5E96B" w14:textId="34A3662A" w:rsidR="009F1B17" w:rsidRPr="005D43B3" w:rsidRDefault="009F1B17" w:rsidP="00FD25CE">
            <w:pPr>
              <w:spacing w:after="120"/>
              <w:rPr>
                <w:b/>
                <w:sz w:val="18"/>
                <w:szCs w:val="18"/>
                <w:lang w:val="en-GB"/>
              </w:rPr>
            </w:pPr>
            <w:r w:rsidRPr="005D43B3">
              <w:rPr>
                <w:b/>
                <w:sz w:val="18"/>
                <w:szCs w:val="18"/>
                <w:lang w:val="en-GB"/>
              </w:rPr>
              <w:t>RULE BOOK PART I RULE 3.6.6</w:t>
            </w:r>
          </w:p>
          <w:p w14:paraId="5754FC63" w14:textId="7B931AE4" w:rsidR="00FD25CE" w:rsidRDefault="00FD25CE" w:rsidP="00FD25CE">
            <w:pPr>
              <w:spacing w:after="120"/>
              <w:rPr>
                <w:sz w:val="18"/>
                <w:szCs w:val="18"/>
                <w:lang w:val="en-GB"/>
              </w:rPr>
            </w:pPr>
            <w:r>
              <w:rPr>
                <w:sz w:val="18"/>
                <w:szCs w:val="18"/>
                <w:lang w:val="en-GB"/>
              </w:rPr>
              <w:t>Any Relevant Euronext Market Undertaking may:</w:t>
            </w:r>
          </w:p>
          <w:p w14:paraId="64E2F508" w14:textId="77777777" w:rsidR="00FD25CE" w:rsidRDefault="00FD25CE" w:rsidP="00FD25CE">
            <w:pPr>
              <w:pStyle w:val="ListParagraph"/>
              <w:numPr>
                <w:ilvl w:val="0"/>
                <w:numId w:val="37"/>
              </w:numPr>
              <w:spacing w:after="120" w:line="240" w:lineRule="auto"/>
              <w:rPr>
                <w:sz w:val="18"/>
                <w:szCs w:val="18"/>
                <w:lang w:val="en-GB"/>
              </w:rPr>
            </w:pPr>
            <w:r>
              <w:rPr>
                <w:sz w:val="18"/>
                <w:szCs w:val="18"/>
                <w:lang w:val="en-GB"/>
              </w:rPr>
              <w:t xml:space="preserve">impose </w:t>
            </w:r>
            <w:r w:rsidRPr="00FD25CE">
              <w:rPr>
                <w:sz w:val="18"/>
                <w:szCs w:val="18"/>
                <w:lang w:val="en-GB"/>
              </w:rPr>
              <w:t>on an Issuer, on a case-by-case basis, such supplementary listing requirements or conditions in addition to those specified in this Chapter 3 (Conditions and procedures for first admission to trading) (notably if it considers this necessary for the protection of potential investors) as it reasonably considers appropriate and of which it shall duly inform the relevant Issuer prior to its decision in respect of the relevant application;</w:t>
            </w:r>
          </w:p>
          <w:p w14:paraId="19499A31" w14:textId="77777777" w:rsidR="00FD25CE" w:rsidRDefault="00FD25CE" w:rsidP="00FD25CE">
            <w:pPr>
              <w:pStyle w:val="ListParagraph"/>
              <w:numPr>
                <w:ilvl w:val="0"/>
                <w:numId w:val="37"/>
              </w:numPr>
              <w:spacing w:after="120" w:line="240" w:lineRule="auto"/>
              <w:rPr>
                <w:sz w:val="18"/>
                <w:szCs w:val="18"/>
                <w:lang w:val="en-GB"/>
              </w:rPr>
            </w:pPr>
            <w:r>
              <w:rPr>
                <w:sz w:val="18"/>
                <w:szCs w:val="18"/>
                <w:lang w:val="en-GB"/>
              </w:rPr>
              <w:t xml:space="preserve">require </w:t>
            </w:r>
            <w:r w:rsidRPr="00FD25CE">
              <w:rPr>
                <w:sz w:val="18"/>
                <w:szCs w:val="18"/>
                <w:lang w:val="en-GB"/>
              </w:rPr>
              <w:t>any additional documentation and information from the Issuer;</w:t>
            </w:r>
          </w:p>
          <w:p w14:paraId="564B3A88" w14:textId="77777777" w:rsidR="00FD25CE" w:rsidRDefault="00FD25CE" w:rsidP="00FD25CE">
            <w:pPr>
              <w:pStyle w:val="ListParagraph"/>
              <w:numPr>
                <w:ilvl w:val="0"/>
                <w:numId w:val="37"/>
              </w:numPr>
              <w:spacing w:after="120" w:line="240" w:lineRule="auto"/>
              <w:rPr>
                <w:sz w:val="18"/>
                <w:szCs w:val="18"/>
                <w:lang w:val="en-GB"/>
              </w:rPr>
            </w:pPr>
            <w:r>
              <w:rPr>
                <w:sz w:val="18"/>
                <w:szCs w:val="18"/>
                <w:lang w:val="en-GB"/>
              </w:rPr>
              <w:t xml:space="preserve">carry </w:t>
            </w:r>
            <w:r w:rsidRPr="00FD25CE">
              <w:rPr>
                <w:sz w:val="18"/>
                <w:szCs w:val="18"/>
                <w:lang w:val="en-GB"/>
              </w:rPr>
              <w:t>out such inquiries as may reasonably be required in connection with its review of an application for first admission to trading; and</w:t>
            </w:r>
          </w:p>
          <w:p w14:paraId="5291C2C7" w14:textId="6075FE72" w:rsidR="00FD25CE" w:rsidRPr="00FD25CE" w:rsidRDefault="00FD25CE" w:rsidP="00FD25CE">
            <w:pPr>
              <w:pStyle w:val="ListParagraph"/>
              <w:numPr>
                <w:ilvl w:val="0"/>
                <w:numId w:val="37"/>
              </w:numPr>
              <w:spacing w:after="120" w:line="240" w:lineRule="auto"/>
              <w:rPr>
                <w:sz w:val="18"/>
                <w:szCs w:val="18"/>
                <w:lang w:val="en-GB"/>
              </w:rPr>
            </w:pPr>
            <w:r>
              <w:rPr>
                <w:sz w:val="18"/>
                <w:szCs w:val="18"/>
                <w:lang w:val="en-GB"/>
              </w:rPr>
              <w:t xml:space="preserve">waive </w:t>
            </w:r>
            <w:r w:rsidRPr="00FD25CE">
              <w:rPr>
                <w:sz w:val="18"/>
                <w:szCs w:val="18"/>
                <w:lang w:val="en-GB"/>
              </w:rPr>
              <w:t>any condition or grant dispensation from any requirement set forth in this Chapter 3 (Conditions and procedures for first admission to trading) or where relevant, in the Part II of these Rules.</w:t>
            </w:r>
          </w:p>
        </w:tc>
      </w:tr>
    </w:tbl>
    <w:p w14:paraId="1414B56B" w14:textId="77777777" w:rsidR="009F1B17" w:rsidRPr="009F1B17" w:rsidRDefault="009F1B17" w:rsidP="009F1B17">
      <w:pPr>
        <w:rPr>
          <w:sz w:val="18"/>
          <w:szCs w:val="18"/>
          <w:u w:val="single"/>
          <w:lang w:val="en-US"/>
        </w:rPr>
      </w:pPr>
    </w:p>
    <w:p w14:paraId="7B2E4918" w14:textId="77777777" w:rsidR="009F1B17" w:rsidRPr="009F1B17" w:rsidRDefault="009F1B17" w:rsidP="009F1B17">
      <w:pPr>
        <w:rPr>
          <w:sz w:val="18"/>
          <w:szCs w:val="18"/>
          <w:lang w:val="en-US"/>
        </w:rPr>
      </w:pPr>
    </w:p>
    <w:p w14:paraId="07481959" w14:textId="65B8B82F" w:rsidR="009F1B17" w:rsidRPr="009F1B17" w:rsidRDefault="009F1B17" w:rsidP="009F1B17">
      <w:pPr>
        <w:rPr>
          <w:sz w:val="18"/>
          <w:szCs w:val="18"/>
          <w:lang w:val="en-GB"/>
        </w:rPr>
      </w:pPr>
    </w:p>
    <w:tbl>
      <w:tblPr>
        <w:tblStyle w:val="TableGrid"/>
        <w:tblW w:w="0" w:type="auto"/>
        <w:tblLook w:val="04A0" w:firstRow="1" w:lastRow="0" w:firstColumn="1" w:lastColumn="0" w:noHBand="0" w:noVBand="1"/>
      </w:tblPr>
      <w:tblGrid>
        <w:gridCol w:w="9060"/>
      </w:tblGrid>
      <w:tr w:rsidR="009F1B17" w14:paraId="7D18540C" w14:textId="77777777" w:rsidTr="009F1B17">
        <w:tc>
          <w:tcPr>
            <w:tcW w:w="9060" w:type="dxa"/>
            <w:shd w:val="clear" w:color="auto" w:fill="F2F2F2" w:themeFill="background1" w:themeFillShade="F2"/>
          </w:tcPr>
          <w:p w14:paraId="7A7EDDCE" w14:textId="77DADA65" w:rsidR="009F1B17" w:rsidRPr="008C2894" w:rsidRDefault="009F1B17" w:rsidP="009F1B17">
            <w:pPr>
              <w:rPr>
                <w:rFonts w:eastAsiaTheme="minorEastAsia"/>
                <w:b/>
                <w:sz w:val="18"/>
                <w:szCs w:val="18"/>
                <w:lang w:val="en-GB"/>
              </w:rPr>
            </w:pPr>
            <w:r w:rsidRPr="008C2894">
              <w:rPr>
                <w:rFonts w:eastAsiaTheme="minorEastAsia"/>
                <w:b/>
                <w:sz w:val="18"/>
                <w:szCs w:val="18"/>
                <w:lang w:val="en-GB"/>
              </w:rPr>
              <w:t>Conclusion</w:t>
            </w:r>
            <w:r w:rsidR="00B01492" w:rsidRPr="008C2894">
              <w:rPr>
                <w:rFonts w:eastAsiaTheme="minorEastAsia"/>
                <w:b/>
                <w:sz w:val="18"/>
                <w:szCs w:val="18"/>
                <w:lang w:val="en-GB"/>
              </w:rPr>
              <w:t xml:space="preserve"> – </w:t>
            </w:r>
            <w:r w:rsidRPr="008C2894">
              <w:rPr>
                <w:rFonts w:eastAsiaTheme="minorEastAsia"/>
                <w:b/>
                <w:sz w:val="18"/>
                <w:szCs w:val="18"/>
                <w:lang w:val="en-GB"/>
              </w:rPr>
              <w:t>Other requirements for admission to trading</w:t>
            </w:r>
          </w:p>
          <w:p w14:paraId="701015E7" w14:textId="77777777" w:rsidR="009F1B17" w:rsidRPr="008C2894" w:rsidRDefault="009F1B17" w:rsidP="009F1B17">
            <w:pPr>
              <w:rPr>
                <w:rFonts w:eastAsiaTheme="minorEastAsia"/>
                <w:b/>
                <w:sz w:val="18"/>
                <w:szCs w:val="18"/>
                <w:lang w:val="en-GB"/>
              </w:rPr>
            </w:pPr>
          </w:p>
          <w:p w14:paraId="69ABC102" w14:textId="0911176B" w:rsidR="00B01492" w:rsidRPr="00B01492" w:rsidRDefault="009F1B17" w:rsidP="008C2894">
            <w:pPr>
              <w:jc w:val="center"/>
              <w:rPr>
                <w:b/>
                <w:sz w:val="20"/>
                <w:szCs w:val="20"/>
                <w:lang w:val="en-GB"/>
              </w:rPr>
            </w:pPr>
            <w:r w:rsidRPr="008C2894">
              <w:rPr>
                <w:b/>
                <w:sz w:val="18"/>
                <w:szCs w:val="18"/>
                <w:lang w:val="en-GB"/>
              </w:rPr>
              <w:t>--------------------------- Reserved for Oslo Børs ---------------------------</w:t>
            </w:r>
          </w:p>
        </w:tc>
      </w:tr>
    </w:tbl>
    <w:p w14:paraId="7A27BEC2" w14:textId="77777777" w:rsidR="009F1B17" w:rsidRPr="009F1B17" w:rsidRDefault="009F1B17" w:rsidP="009F1B17">
      <w:pPr>
        <w:rPr>
          <w:lang w:val="en-US" w:eastAsia="nb-NO"/>
        </w:rPr>
      </w:pPr>
    </w:p>
    <w:p w14:paraId="6D969C0C" w14:textId="04AE25B1" w:rsidR="00AE1D1B" w:rsidRPr="00B01492" w:rsidRDefault="009F1B17" w:rsidP="00355749">
      <w:pPr>
        <w:pStyle w:val="Heading3"/>
        <w:rPr>
          <w:sz w:val="20"/>
          <w:szCs w:val="20"/>
        </w:rPr>
      </w:pPr>
      <w:bookmarkStart w:id="57" w:name="_Hlk99990063"/>
      <w:r w:rsidRPr="00B01492">
        <w:rPr>
          <w:sz w:val="20"/>
          <w:szCs w:val="20"/>
        </w:rPr>
        <w:t xml:space="preserve">Due </w:t>
      </w:r>
      <w:r w:rsidR="00A432C1" w:rsidRPr="00B01492">
        <w:rPr>
          <w:sz w:val="20"/>
          <w:szCs w:val="20"/>
        </w:rPr>
        <w:t>d</w:t>
      </w:r>
      <w:r w:rsidRPr="00B01492">
        <w:rPr>
          <w:sz w:val="20"/>
          <w:szCs w:val="20"/>
        </w:rPr>
        <w:t>iligence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494C12" w:rsidRPr="00706E66" w14:paraId="72E36357" w14:textId="77777777" w:rsidTr="00725FD5">
        <w:tc>
          <w:tcPr>
            <w:tcW w:w="9212" w:type="dxa"/>
            <w:shd w:val="clear" w:color="auto" w:fill="F3F3F3"/>
          </w:tcPr>
          <w:p w14:paraId="167F80A7" w14:textId="2B8553A8" w:rsidR="009F1B17" w:rsidRPr="004C1606" w:rsidRDefault="009F1B17" w:rsidP="004C1606">
            <w:pPr>
              <w:pStyle w:val="Default"/>
              <w:spacing w:after="120"/>
              <w:rPr>
                <w:rFonts w:asciiTheme="minorHAnsi" w:eastAsiaTheme="minorHAnsi" w:hAnsiTheme="minorHAnsi" w:cstheme="minorHAnsi"/>
                <w:b/>
                <w:sz w:val="18"/>
                <w:szCs w:val="18"/>
                <w:lang w:eastAsia="en-US"/>
              </w:rPr>
            </w:pPr>
            <w:r w:rsidRPr="005D43B3">
              <w:rPr>
                <w:rFonts w:asciiTheme="minorHAnsi" w:eastAsiaTheme="minorHAnsi" w:hAnsiTheme="minorHAnsi" w:cstheme="minorHAnsi"/>
                <w:b/>
                <w:sz w:val="18"/>
                <w:szCs w:val="18"/>
                <w:lang w:eastAsia="en-US"/>
              </w:rPr>
              <w:t>NOTICE</w:t>
            </w:r>
            <w:r w:rsidR="007340E1" w:rsidRPr="005D43B3">
              <w:rPr>
                <w:rFonts w:asciiTheme="minorHAnsi" w:eastAsiaTheme="minorHAnsi" w:hAnsiTheme="minorHAnsi" w:cstheme="minorHAnsi"/>
                <w:b/>
                <w:sz w:val="18"/>
                <w:szCs w:val="18"/>
                <w:lang w:eastAsia="en-US"/>
              </w:rPr>
              <w:t xml:space="preserve"> 2</w:t>
            </w:r>
            <w:r w:rsidRPr="005D43B3">
              <w:rPr>
                <w:rFonts w:asciiTheme="minorHAnsi" w:eastAsiaTheme="minorHAnsi" w:hAnsiTheme="minorHAnsi" w:cstheme="minorHAnsi"/>
                <w:b/>
                <w:sz w:val="18"/>
                <w:szCs w:val="18"/>
                <w:lang w:eastAsia="en-US"/>
              </w:rPr>
              <w:t>.</w:t>
            </w:r>
            <w:r w:rsidR="007340E1" w:rsidRPr="005D43B3">
              <w:rPr>
                <w:rFonts w:asciiTheme="minorHAnsi" w:eastAsiaTheme="minorHAnsi" w:hAnsiTheme="minorHAnsi" w:cstheme="minorHAnsi"/>
                <w:b/>
                <w:sz w:val="18"/>
                <w:szCs w:val="18"/>
                <w:lang w:eastAsia="en-US"/>
              </w:rPr>
              <w:t>2</w:t>
            </w:r>
            <w:r w:rsidRPr="005D43B3">
              <w:rPr>
                <w:rFonts w:asciiTheme="minorHAnsi" w:eastAsiaTheme="minorHAnsi" w:hAnsiTheme="minorHAnsi" w:cstheme="minorHAnsi"/>
                <w:b/>
                <w:sz w:val="18"/>
                <w:szCs w:val="18"/>
                <w:lang w:eastAsia="en-US"/>
              </w:rPr>
              <w:t xml:space="preserve"> SECTION 3</w:t>
            </w:r>
          </w:p>
          <w:p w14:paraId="668C8A84" w14:textId="79BCBFF3" w:rsidR="004C1606" w:rsidRPr="00D644E8" w:rsidRDefault="004C1606" w:rsidP="004102F9">
            <w:pPr>
              <w:pStyle w:val="ListParagraph"/>
              <w:numPr>
                <w:ilvl w:val="0"/>
                <w:numId w:val="38"/>
              </w:numPr>
              <w:spacing w:after="120" w:line="240" w:lineRule="auto"/>
              <w:rPr>
                <w:rFonts w:asciiTheme="minorHAnsi" w:hAnsiTheme="minorHAnsi" w:cs="Verdana"/>
                <w:sz w:val="18"/>
                <w:szCs w:val="18"/>
                <w:lang w:val="en-US"/>
              </w:rPr>
            </w:pPr>
            <w:r w:rsidRPr="004C1606">
              <w:rPr>
                <w:rFonts w:asciiTheme="minorHAnsi" w:hAnsiTheme="minorHAnsi"/>
                <w:sz w:val="18"/>
                <w:szCs w:val="18"/>
                <w:lang w:val="en-US"/>
              </w:rPr>
              <w:t xml:space="preserve">The </w:t>
            </w:r>
            <w:proofErr w:type="spellStart"/>
            <w:r w:rsidRPr="004C1606">
              <w:rPr>
                <w:rFonts w:asciiTheme="minorHAnsi" w:hAnsiTheme="minorHAnsi" w:cs="Verdana"/>
                <w:sz w:val="18"/>
                <w:szCs w:val="18"/>
                <w:lang w:val="en-US"/>
              </w:rPr>
              <w:t>Issuer</w:t>
            </w:r>
            <w:r w:rsidR="004102F9">
              <w:rPr>
                <w:rFonts w:asciiTheme="minorHAnsi" w:hAnsiTheme="minorHAnsi" w:cs="Verdana"/>
                <w:sz w:val="18"/>
                <w:szCs w:val="18"/>
                <w:lang w:val="en-US"/>
              </w:rPr>
              <w:t>must</w:t>
            </w:r>
            <w:proofErr w:type="spellEnd"/>
            <w:r w:rsidR="004102F9">
              <w:rPr>
                <w:rFonts w:asciiTheme="minorHAnsi" w:hAnsiTheme="minorHAnsi" w:cs="Verdana"/>
                <w:sz w:val="18"/>
                <w:szCs w:val="18"/>
                <w:lang w:val="en-US"/>
              </w:rPr>
              <w:t xml:space="preserve"> carry out </w:t>
            </w:r>
            <w:r w:rsidRPr="004C1606">
              <w:rPr>
                <w:rFonts w:asciiTheme="minorHAnsi" w:hAnsiTheme="minorHAnsi" w:cs="Verdana"/>
                <w:sz w:val="18"/>
                <w:szCs w:val="18"/>
                <w:lang w:val="en-US"/>
              </w:rPr>
              <w:t xml:space="preserve">due diligence in connection with the process of admission to </w:t>
            </w:r>
            <w:proofErr w:type="spellStart"/>
            <w:r w:rsidRPr="004C1606">
              <w:rPr>
                <w:rFonts w:asciiTheme="minorHAnsi" w:hAnsiTheme="minorHAnsi" w:cs="Verdana"/>
                <w:sz w:val="18"/>
                <w:szCs w:val="18"/>
                <w:lang w:val="en-US"/>
              </w:rPr>
              <w:t>trading</w:t>
            </w:r>
            <w:r w:rsidR="004102F9">
              <w:rPr>
                <w:rFonts w:asciiTheme="minorHAnsi" w:hAnsiTheme="minorHAnsi" w:cs="Verdana"/>
                <w:sz w:val="18"/>
                <w:szCs w:val="18"/>
                <w:lang w:val="en-US"/>
              </w:rPr>
              <w:t>in</w:t>
            </w:r>
            <w:proofErr w:type="spellEnd"/>
            <w:r w:rsidR="004102F9">
              <w:rPr>
                <w:rFonts w:asciiTheme="minorHAnsi" w:hAnsiTheme="minorHAnsi" w:cs="Verdana"/>
                <w:sz w:val="18"/>
                <w:szCs w:val="18"/>
                <w:lang w:val="en-US"/>
              </w:rPr>
              <w:t xml:space="preserve"> order</w:t>
            </w:r>
            <w:r w:rsidRPr="004C1606">
              <w:rPr>
                <w:rFonts w:asciiTheme="minorHAnsi" w:hAnsiTheme="minorHAnsi" w:cs="Verdana"/>
                <w:sz w:val="18"/>
                <w:szCs w:val="18"/>
                <w:lang w:val="en-US"/>
              </w:rPr>
              <w:t xml:space="preserve"> to identify whether there are any matters that are of significance </w:t>
            </w:r>
            <w:r w:rsidR="004102F9">
              <w:rPr>
                <w:rFonts w:asciiTheme="minorHAnsi" w:hAnsiTheme="minorHAnsi" w:cs="Verdana"/>
                <w:sz w:val="18"/>
                <w:szCs w:val="18"/>
                <w:lang w:val="en-US"/>
              </w:rPr>
              <w:t xml:space="preserve">for evaluating </w:t>
            </w:r>
            <w:r w:rsidRPr="004C1606">
              <w:rPr>
                <w:rFonts w:asciiTheme="minorHAnsi" w:hAnsiTheme="minorHAnsi" w:cs="Verdana"/>
                <w:sz w:val="18"/>
                <w:szCs w:val="18"/>
                <w:lang w:val="en-US"/>
              </w:rPr>
              <w:t xml:space="preserve">whether the Shares are suitable for admission to trading, </w:t>
            </w:r>
            <w:r w:rsidR="004102F9">
              <w:rPr>
                <w:rFonts w:asciiTheme="minorHAnsi" w:hAnsiTheme="minorHAnsi" w:cs="Verdana"/>
                <w:sz w:val="18"/>
                <w:szCs w:val="18"/>
                <w:lang w:val="en-US"/>
              </w:rPr>
              <w:t>including whether sufficient information about the Issuer is included in</w:t>
            </w:r>
            <w:r w:rsidRPr="004C1606">
              <w:rPr>
                <w:rFonts w:asciiTheme="minorHAnsi" w:hAnsiTheme="minorHAnsi" w:cs="Verdana"/>
                <w:sz w:val="18"/>
                <w:szCs w:val="18"/>
                <w:lang w:val="en-US"/>
              </w:rPr>
              <w:t xml:space="preserve"> the</w:t>
            </w:r>
            <w:r w:rsidR="004102F9">
              <w:rPr>
                <w:rFonts w:asciiTheme="minorHAnsi" w:hAnsiTheme="minorHAnsi" w:cs="Verdana"/>
                <w:sz w:val="18"/>
                <w:szCs w:val="18"/>
                <w:lang w:val="en-US"/>
              </w:rPr>
              <w:t xml:space="preserve"> information document. The</w:t>
            </w:r>
            <w:r w:rsidRPr="004C1606">
              <w:rPr>
                <w:rFonts w:asciiTheme="minorHAnsi" w:hAnsiTheme="minorHAnsi" w:cs="Verdana"/>
                <w:sz w:val="18"/>
                <w:szCs w:val="18"/>
                <w:lang w:val="en-US"/>
              </w:rPr>
              <w:t xml:space="preserve"> Issuer and </w:t>
            </w:r>
            <w:r w:rsidR="004102F9">
              <w:rPr>
                <w:rFonts w:asciiTheme="minorHAnsi" w:hAnsiTheme="minorHAnsi" w:cs="Verdana"/>
                <w:sz w:val="18"/>
                <w:szCs w:val="18"/>
                <w:lang w:val="en-US"/>
              </w:rPr>
              <w:t>its</w:t>
            </w:r>
            <w:r w:rsidR="004102F9" w:rsidRPr="004C1606">
              <w:rPr>
                <w:rFonts w:asciiTheme="minorHAnsi" w:hAnsiTheme="minorHAnsi" w:cs="Verdana"/>
                <w:sz w:val="18"/>
                <w:szCs w:val="18"/>
                <w:lang w:val="en-US"/>
              </w:rPr>
              <w:t xml:space="preserve"> </w:t>
            </w:r>
            <w:r w:rsidRPr="004C1606">
              <w:rPr>
                <w:rFonts w:asciiTheme="minorHAnsi" w:hAnsiTheme="minorHAnsi" w:cs="Verdana"/>
                <w:sz w:val="18"/>
                <w:szCs w:val="18"/>
                <w:lang w:val="en-US"/>
              </w:rPr>
              <w:t xml:space="preserve">Euronext Growth Advisor </w:t>
            </w:r>
            <w:r w:rsidR="004102F9">
              <w:rPr>
                <w:rFonts w:asciiTheme="minorHAnsi" w:hAnsiTheme="minorHAnsi" w:cs="Verdana"/>
                <w:sz w:val="18"/>
                <w:szCs w:val="18"/>
                <w:lang w:val="en-US"/>
              </w:rPr>
              <w:t xml:space="preserve">must also evaluate whether there is a need to carry out further investigations in respect of technical, commercial, environmental, taxation and financial matters, as well as any other matters of significance. </w:t>
            </w:r>
            <w:r w:rsidR="004102F9" w:rsidRPr="00D644E8">
              <w:rPr>
                <w:rFonts w:asciiTheme="minorHAnsi" w:hAnsiTheme="minorHAnsi" w:cs="Verdana"/>
                <w:sz w:val="18"/>
                <w:szCs w:val="18"/>
                <w:lang w:val="en-US"/>
              </w:rPr>
              <w:t>At a minimum, a financial due diligence and a legal due dilige</w:t>
            </w:r>
            <w:r w:rsidR="004102F9" w:rsidRPr="00E76051">
              <w:rPr>
                <w:rFonts w:asciiTheme="minorHAnsi" w:hAnsiTheme="minorHAnsi" w:cs="Verdana"/>
                <w:sz w:val="18"/>
                <w:szCs w:val="18"/>
                <w:lang w:val="en-US"/>
              </w:rPr>
              <w:t>nce</w:t>
            </w:r>
            <w:r w:rsidR="00D644E8" w:rsidRPr="00E76051">
              <w:rPr>
                <w:rFonts w:asciiTheme="minorHAnsi" w:hAnsiTheme="minorHAnsi" w:cs="Verdana"/>
                <w:sz w:val="18"/>
                <w:szCs w:val="18"/>
                <w:lang w:val="en-US"/>
              </w:rPr>
              <w:t xml:space="preserve"> must be</w:t>
            </w:r>
            <w:r w:rsidR="00D644E8">
              <w:rPr>
                <w:rFonts w:asciiTheme="minorHAnsi" w:hAnsiTheme="minorHAnsi" w:cs="Verdana"/>
                <w:sz w:val="18"/>
                <w:szCs w:val="18"/>
                <w:lang w:val="en-US"/>
              </w:rPr>
              <w:t xml:space="preserve"> carried out.</w:t>
            </w:r>
            <w:r w:rsidR="004102F9" w:rsidRPr="00E76051">
              <w:rPr>
                <w:rFonts w:asciiTheme="minorHAnsi" w:hAnsiTheme="minorHAnsi" w:cs="Verdana"/>
                <w:sz w:val="18"/>
                <w:szCs w:val="18"/>
                <w:lang w:val="en-US"/>
              </w:rPr>
              <w:t xml:space="preserve"> </w:t>
            </w:r>
          </w:p>
          <w:p w14:paraId="24996A1E" w14:textId="607E7ECD" w:rsidR="004C1606" w:rsidRPr="004C1606" w:rsidRDefault="004C1606" w:rsidP="004C1606">
            <w:pPr>
              <w:pStyle w:val="Default"/>
              <w:numPr>
                <w:ilvl w:val="0"/>
                <w:numId w:val="38"/>
              </w:numPr>
              <w:spacing w:after="120"/>
              <w:rPr>
                <w:rFonts w:asciiTheme="minorHAnsi" w:hAnsiTheme="minorHAnsi"/>
                <w:color w:val="auto"/>
                <w:sz w:val="18"/>
                <w:szCs w:val="18"/>
                <w:lang w:val="en-US"/>
              </w:rPr>
            </w:pPr>
            <w:r w:rsidRPr="004C1606">
              <w:rPr>
                <w:rFonts w:asciiTheme="minorHAnsi" w:hAnsiTheme="minorHAnsi"/>
                <w:color w:val="auto"/>
                <w:sz w:val="18"/>
                <w:szCs w:val="18"/>
                <w:lang w:val="en-US"/>
              </w:rPr>
              <w:t>The due diligence advisors shall also assess whether the Issuer has sufficient expertise, resources and procedures in place to satisfy the requirements for the correct and proper management and distribution of information. Information on this assessment shall be provided in the application</w:t>
            </w:r>
            <w:r w:rsidR="00B13441">
              <w:rPr>
                <w:rFonts w:asciiTheme="minorHAnsi" w:hAnsiTheme="minorHAnsi"/>
                <w:color w:val="auto"/>
                <w:sz w:val="18"/>
                <w:szCs w:val="18"/>
                <w:lang w:val="en-US"/>
              </w:rPr>
              <w:t xml:space="preserve"> for admission to trading</w:t>
            </w:r>
            <w:r w:rsidRPr="004C1606">
              <w:rPr>
                <w:rFonts w:asciiTheme="minorHAnsi" w:hAnsiTheme="minorHAnsi"/>
                <w:color w:val="auto"/>
                <w:sz w:val="18"/>
                <w:szCs w:val="18"/>
                <w:lang w:val="en-US"/>
              </w:rPr>
              <w:t>.</w:t>
            </w:r>
          </w:p>
          <w:p w14:paraId="3F2E9007" w14:textId="25992F13" w:rsidR="004C1606" w:rsidRPr="004C1606" w:rsidRDefault="004C1606" w:rsidP="004C1606">
            <w:pPr>
              <w:pStyle w:val="Default"/>
              <w:numPr>
                <w:ilvl w:val="0"/>
                <w:numId w:val="38"/>
              </w:numPr>
              <w:spacing w:after="120"/>
              <w:rPr>
                <w:rFonts w:asciiTheme="minorHAnsi" w:hAnsiTheme="minorHAnsi"/>
                <w:color w:val="auto"/>
                <w:sz w:val="18"/>
                <w:szCs w:val="18"/>
                <w:lang w:val="en-US"/>
              </w:rPr>
            </w:pPr>
            <w:r w:rsidRPr="004C1606">
              <w:rPr>
                <w:rFonts w:asciiTheme="minorHAnsi" w:hAnsiTheme="minorHAnsi"/>
                <w:color w:val="auto"/>
                <w:sz w:val="18"/>
                <w:szCs w:val="18"/>
                <w:lang w:val="en-US"/>
              </w:rPr>
              <w:t xml:space="preserve">The </w:t>
            </w:r>
            <w:r w:rsidR="000F2D82">
              <w:rPr>
                <w:rFonts w:asciiTheme="minorHAnsi" w:hAnsiTheme="minorHAnsi"/>
                <w:color w:val="auto"/>
                <w:sz w:val="18"/>
                <w:szCs w:val="18"/>
                <w:lang w:val="en-US"/>
              </w:rPr>
              <w:t>due</w:t>
            </w:r>
            <w:r w:rsidRPr="004C1606">
              <w:rPr>
                <w:rFonts w:asciiTheme="minorHAnsi" w:hAnsiTheme="minorHAnsi"/>
                <w:color w:val="auto"/>
                <w:sz w:val="18"/>
                <w:szCs w:val="18"/>
                <w:lang w:val="en-US"/>
              </w:rPr>
              <w:t xml:space="preserve"> diligence shall be carried out by legal and financial advisors that have appropriate expertise</w:t>
            </w:r>
            <w:r w:rsidR="00153A4D">
              <w:rPr>
                <w:rFonts w:asciiTheme="minorHAnsi" w:hAnsiTheme="minorHAnsi"/>
                <w:color w:val="auto"/>
                <w:sz w:val="18"/>
                <w:szCs w:val="18"/>
                <w:lang w:val="en-US"/>
              </w:rPr>
              <w:t xml:space="preserve"> and that are </w:t>
            </w:r>
            <w:r w:rsidR="000700CA">
              <w:rPr>
                <w:rFonts w:asciiTheme="minorHAnsi" w:hAnsiTheme="minorHAnsi"/>
                <w:color w:val="auto"/>
                <w:sz w:val="18"/>
                <w:szCs w:val="18"/>
                <w:lang w:val="en-US"/>
              </w:rPr>
              <w:t>sufficiently independent of the Issuer that is applying for admission to trading</w:t>
            </w:r>
            <w:r w:rsidRPr="004C1606">
              <w:rPr>
                <w:rFonts w:asciiTheme="minorHAnsi" w:hAnsiTheme="minorHAnsi"/>
                <w:color w:val="auto"/>
                <w:sz w:val="18"/>
                <w:szCs w:val="18"/>
                <w:lang w:val="en-US"/>
              </w:rPr>
              <w:t xml:space="preserve">. </w:t>
            </w:r>
          </w:p>
          <w:p w14:paraId="42997D70" w14:textId="77777777" w:rsidR="004C1606" w:rsidRDefault="004C1606" w:rsidP="004C1606">
            <w:pPr>
              <w:pStyle w:val="Default"/>
              <w:numPr>
                <w:ilvl w:val="0"/>
                <w:numId w:val="38"/>
              </w:numPr>
              <w:spacing w:after="120"/>
              <w:rPr>
                <w:rFonts w:asciiTheme="minorHAnsi" w:hAnsiTheme="minorHAnsi"/>
                <w:color w:val="auto"/>
                <w:sz w:val="18"/>
                <w:szCs w:val="18"/>
                <w:lang w:val="en-US"/>
              </w:rPr>
            </w:pPr>
            <w:r w:rsidRPr="004C1606">
              <w:rPr>
                <w:rFonts w:asciiTheme="minorHAnsi" w:hAnsiTheme="minorHAnsi"/>
                <w:color w:val="auto"/>
                <w:sz w:val="18"/>
                <w:szCs w:val="18"/>
                <w:lang w:val="en-US"/>
              </w:rPr>
              <w:t>If there are any findings that are of significance to the assessment of whether the Issuer and its Shares are suitable for admission to trading on Euronext Growth Oslo, the Euronext Growth Advisor shall inform Oslo Børs about these findings on its own initiative and in good time before the first day of admission to trading.</w:t>
            </w:r>
          </w:p>
          <w:p w14:paraId="336D8044" w14:textId="77777777" w:rsidR="00B86A6A" w:rsidRPr="00B86A6A" w:rsidRDefault="00B86A6A" w:rsidP="00B86A6A">
            <w:pPr>
              <w:pStyle w:val="ListParagraph"/>
              <w:numPr>
                <w:ilvl w:val="0"/>
                <w:numId w:val="38"/>
              </w:numPr>
              <w:rPr>
                <w:rFonts w:asciiTheme="minorHAnsi" w:hAnsiTheme="minorHAnsi" w:cs="Verdana"/>
                <w:sz w:val="18"/>
                <w:szCs w:val="18"/>
                <w:lang w:val="en-US"/>
              </w:rPr>
            </w:pPr>
            <w:r w:rsidRPr="00B86A6A">
              <w:rPr>
                <w:rFonts w:asciiTheme="minorHAnsi" w:hAnsiTheme="minorHAnsi" w:cs="Verdana"/>
                <w:sz w:val="18"/>
                <w:szCs w:val="18"/>
                <w:lang w:val="en-US"/>
              </w:rPr>
              <w:t>Oslo Børs may require further due diligence investigations, or that other parties carry out due diligence investigations, if it is apparent from the Due diligence form that satisfactory due diligence pursuant to the first and second paragraphs is not carried out, or if Oslo Børs considers such steps necessary for other reasons.</w:t>
            </w:r>
          </w:p>
          <w:p w14:paraId="35ED7D0E" w14:textId="00AFC3A6" w:rsidR="00B12D95" w:rsidRPr="004C1606" w:rsidRDefault="00101ECF" w:rsidP="00E76051">
            <w:pPr>
              <w:pStyle w:val="ListParagraph"/>
              <w:numPr>
                <w:ilvl w:val="0"/>
                <w:numId w:val="38"/>
              </w:numPr>
              <w:rPr>
                <w:rFonts w:asciiTheme="minorHAnsi" w:hAnsiTheme="minorHAnsi"/>
                <w:sz w:val="18"/>
                <w:szCs w:val="18"/>
                <w:lang w:val="en-US"/>
              </w:rPr>
            </w:pPr>
            <w:r w:rsidRPr="00101ECF">
              <w:rPr>
                <w:rFonts w:asciiTheme="minorHAnsi" w:hAnsiTheme="minorHAnsi" w:cs="Verdana"/>
                <w:sz w:val="18"/>
                <w:szCs w:val="18"/>
                <w:lang w:val="en-US"/>
              </w:rPr>
              <w:t>Oslo Børs may grant exemptions from the requirements in the first and third paragraphs in special circumstances.</w:t>
            </w:r>
          </w:p>
        </w:tc>
      </w:tr>
    </w:tbl>
    <w:p w14:paraId="1867065B" w14:textId="77777777" w:rsidR="005D73B5" w:rsidRPr="004C1606" w:rsidRDefault="005D73B5" w:rsidP="005D73B5">
      <w:pPr>
        <w:pStyle w:val="ListParagraph"/>
        <w:spacing w:after="0"/>
        <w:ind w:left="360"/>
        <w:rPr>
          <w:rFonts w:asciiTheme="minorHAnsi" w:hAnsiTheme="minorHAnsi"/>
          <w:sz w:val="18"/>
          <w:lang w:val="en-US"/>
        </w:rPr>
      </w:pPr>
    </w:p>
    <w:p w14:paraId="57C311ED" w14:textId="7D41E6B5" w:rsidR="00A50169" w:rsidRDefault="00A50169" w:rsidP="00A50169">
      <w:pPr>
        <w:pStyle w:val="ListParagraph"/>
        <w:numPr>
          <w:ilvl w:val="0"/>
          <w:numId w:val="22"/>
        </w:numPr>
        <w:spacing w:after="120" w:line="240" w:lineRule="auto"/>
        <w:ind w:left="714" w:hanging="357"/>
        <w:jc w:val="both"/>
        <w:rPr>
          <w:rFonts w:cs="Verdana"/>
          <w:sz w:val="20"/>
          <w:szCs w:val="20"/>
          <w:lang w:val="en-GB"/>
        </w:rPr>
      </w:pPr>
      <w:r>
        <w:rPr>
          <w:rFonts w:cs="Verdana"/>
          <w:sz w:val="20"/>
          <w:szCs w:val="20"/>
          <w:lang w:val="en-GB"/>
        </w:rPr>
        <w:lastRenderedPageBreak/>
        <w:t xml:space="preserve">Please submit the standard Due Diligence form which is </w:t>
      </w:r>
      <w:bookmarkStart w:id="58" w:name="_Hlk122509862"/>
      <w:r w:rsidRPr="00F93464">
        <w:rPr>
          <w:rFonts w:cs="Verdana"/>
          <w:sz w:val="20"/>
          <w:szCs w:val="20"/>
          <w:lang w:val="en-GB"/>
        </w:rPr>
        <w:t xml:space="preserve">available at </w:t>
      </w:r>
      <w:hyperlink r:id="rId11" w:history="1">
        <w:r w:rsidR="00F93464" w:rsidRPr="00F93464">
          <w:rPr>
            <w:rStyle w:val="Hyperlink"/>
            <w:sz w:val="20"/>
            <w:szCs w:val="20"/>
            <w:lang w:val="en-US"/>
          </w:rPr>
          <w:t>Due Diligence Form</w:t>
        </w:r>
      </w:hyperlink>
      <w:r w:rsidR="00F93464" w:rsidRPr="00F93464">
        <w:rPr>
          <w:sz w:val="20"/>
          <w:szCs w:val="20"/>
          <w:lang w:val="en-US"/>
        </w:rPr>
        <w:t xml:space="preserve"> (direct </w:t>
      </w:r>
      <w:proofErr w:type="spellStart"/>
      <w:r w:rsidR="00F93464" w:rsidRPr="00F93464">
        <w:rPr>
          <w:sz w:val="20"/>
          <w:szCs w:val="20"/>
          <w:lang w:val="en-US"/>
        </w:rPr>
        <w:t>linkt</w:t>
      </w:r>
      <w:proofErr w:type="spellEnd"/>
      <w:r w:rsidR="00F93464" w:rsidRPr="00F93464">
        <w:rPr>
          <w:sz w:val="20"/>
          <w:szCs w:val="20"/>
          <w:lang w:val="en-US"/>
        </w:rPr>
        <w:t xml:space="preserve">) or </w:t>
      </w:r>
      <w:r w:rsidR="00F93464">
        <w:rPr>
          <w:sz w:val="20"/>
          <w:szCs w:val="20"/>
          <w:lang w:val="en-US"/>
        </w:rPr>
        <w:t xml:space="preserve">at </w:t>
      </w:r>
      <w:hyperlink r:id="rId12" w:history="1">
        <w:r w:rsidR="00F93464" w:rsidRPr="00F93464">
          <w:rPr>
            <w:rStyle w:val="Hyperlink"/>
            <w:sz w:val="20"/>
            <w:szCs w:val="20"/>
            <w:lang w:val="en-GB"/>
          </w:rPr>
          <w:t>MTFs operated by Euronext | euronext.com</w:t>
        </w:r>
      </w:hyperlink>
      <w:r w:rsidR="00F93464" w:rsidRPr="00F93464">
        <w:rPr>
          <w:sz w:val="20"/>
          <w:szCs w:val="20"/>
          <w:lang w:val="en-GB"/>
        </w:rPr>
        <w:t>.</w:t>
      </w:r>
      <w:r>
        <w:rPr>
          <w:rFonts w:cs="Verdana"/>
          <w:sz w:val="20"/>
          <w:szCs w:val="20"/>
          <w:lang w:val="en-GB"/>
        </w:rPr>
        <w:t xml:space="preserve"> </w:t>
      </w:r>
    </w:p>
    <w:bookmarkEnd w:id="58"/>
    <w:p w14:paraId="0DA2EF39" w14:textId="77777777" w:rsidR="00ED071E" w:rsidRDefault="004E6D93" w:rsidP="00E76051">
      <w:pPr>
        <w:pStyle w:val="ListParagraph"/>
        <w:numPr>
          <w:ilvl w:val="0"/>
          <w:numId w:val="22"/>
        </w:numPr>
        <w:spacing w:after="120" w:line="240" w:lineRule="auto"/>
        <w:ind w:left="714" w:hanging="357"/>
        <w:jc w:val="both"/>
        <w:rPr>
          <w:rFonts w:cs="Verdana"/>
          <w:sz w:val="20"/>
          <w:szCs w:val="20"/>
          <w:lang w:val="en-GB"/>
        </w:rPr>
      </w:pPr>
      <w:r>
        <w:rPr>
          <w:rFonts w:cs="Verdana"/>
          <w:sz w:val="20"/>
          <w:szCs w:val="20"/>
          <w:lang w:val="en-GB"/>
        </w:rPr>
        <w:t>Please confirm that the due diligence investigations are completed.</w:t>
      </w:r>
    </w:p>
    <w:p w14:paraId="6E920222" w14:textId="3364E2E6" w:rsidR="00D755C9" w:rsidRPr="00117A98" w:rsidRDefault="00C6105B" w:rsidP="00E76051">
      <w:pPr>
        <w:pStyle w:val="ListParagraph"/>
        <w:numPr>
          <w:ilvl w:val="0"/>
          <w:numId w:val="22"/>
        </w:numPr>
        <w:spacing w:after="120" w:line="240" w:lineRule="auto"/>
        <w:ind w:left="714" w:hanging="357"/>
        <w:jc w:val="both"/>
        <w:rPr>
          <w:rFonts w:cs="Verdana"/>
          <w:sz w:val="20"/>
          <w:szCs w:val="20"/>
          <w:lang w:val="en-GB"/>
        </w:rPr>
      </w:pPr>
      <w:r w:rsidRPr="00C6105B">
        <w:rPr>
          <w:rFonts w:cs="Verdana"/>
          <w:sz w:val="20"/>
          <w:szCs w:val="20"/>
          <w:lang w:val="en-GB"/>
        </w:rPr>
        <w:t xml:space="preserve">To the extent that is </w:t>
      </w:r>
      <w:proofErr w:type="spellStart"/>
      <w:r w:rsidRPr="00C6105B">
        <w:rPr>
          <w:rFonts w:cs="Verdana"/>
          <w:sz w:val="20"/>
          <w:szCs w:val="20"/>
          <w:lang w:val="en-GB"/>
        </w:rPr>
        <w:t>is</w:t>
      </w:r>
      <w:proofErr w:type="spellEnd"/>
      <w:r w:rsidRPr="00C6105B">
        <w:rPr>
          <w:rFonts w:cs="Verdana"/>
          <w:sz w:val="20"/>
          <w:szCs w:val="20"/>
          <w:lang w:val="en-GB"/>
        </w:rPr>
        <w:t xml:space="preserve"> planned to apply for an exemption, such application must be sent to Oslo Børs in sufficient time for the due diligence to be carried out in a responsible manner in the event that the application should be rejected.</w:t>
      </w:r>
    </w:p>
    <w:bookmarkEnd w:id="57"/>
    <w:p w14:paraId="101B7E2F" w14:textId="124B7D03" w:rsidR="00F55C7D" w:rsidRPr="00B01492" w:rsidRDefault="00254D2D" w:rsidP="00C15BFA">
      <w:pPr>
        <w:pStyle w:val="Heading3"/>
        <w:rPr>
          <w:sz w:val="20"/>
          <w:szCs w:val="20"/>
        </w:rPr>
      </w:pPr>
      <w:r w:rsidRPr="00B01492">
        <w:rPr>
          <w:sz w:val="20"/>
          <w:szCs w:val="20"/>
        </w:rPr>
        <w:t>Other</w:t>
      </w:r>
    </w:p>
    <w:p w14:paraId="026E5193" w14:textId="77777777" w:rsidR="00254D2D" w:rsidRPr="00117A98" w:rsidRDefault="00254D2D" w:rsidP="00E76051">
      <w:pPr>
        <w:pStyle w:val="ListParagraph"/>
        <w:numPr>
          <w:ilvl w:val="0"/>
          <w:numId w:val="22"/>
        </w:numPr>
        <w:spacing w:after="0" w:line="240" w:lineRule="auto"/>
        <w:ind w:left="714" w:hanging="357"/>
        <w:jc w:val="both"/>
        <w:rPr>
          <w:rFonts w:cs="Verdana"/>
          <w:sz w:val="20"/>
          <w:szCs w:val="20"/>
          <w:lang w:val="en-GB"/>
        </w:rPr>
      </w:pPr>
      <w:r w:rsidRPr="00117A98">
        <w:rPr>
          <w:rFonts w:cs="Verdana"/>
          <w:sz w:val="20"/>
          <w:szCs w:val="20"/>
          <w:lang w:val="en-GB"/>
        </w:rPr>
        <w:t>Please describe any other special circumstances that can have consequences for the potential admission to trading of the Issuer’s Shares. In particular, details must be provided of any agreements of critical importance to the business.</w:t>
      </w:r>
    </w:p>
    <w:p w14:paraId="40E73F25" w14:textId="77777777" w:rsidR="00254D2D" w:rsidRPr="00254D2D" w:rsidRDefault="00254D2D" w:rsidP="00254D2D">
      <w:pPr>
        <w:rPr>
          <w:lang w:val="en-GB" w:eastAsia="nb-NO"/>
        </w:rPr>
      </w:pPr>
    </w:p>
    <w:tbl>
      <w:tblPr>
        <w:tblStyle w:val="TableGrid"/>
        <w:tblW w:w="0" w:type="auto"/>
        <w:tblInd w:w="-34" w:type="dxa"/>
        <w:tblLook w:val="04A0" w:firstRow="1" w:lastRow="0" w:firstColumn="1" w:lastColumn="0" w:noHBand="0" w:noVBand="1"/>
      </w:tblPr>
      <w:tblGrid>
        <w:gridCol w:w="9094"/>
      </w:tblGrid>
      <w:tr w:rsidR="00F55C7D" w:rsidRPr="00BA5838" w14:paraId="71F28299" w14:textId="77777777" w:rsidTr="00F55C7D">
        <w:tc>
          <w:tcPr>
            <w:tcW w:w="9320" w:type="dxa"/>
            <w:shd w:val="clear" w:color="auto" w:fill="F2F2F2" w:themeFill="background1" w:themeFillShade="F2"/>
          </w:tcPr>
          <w:p w14:paraId="2DDC2BD1" w14:textId="12F729F6" w:rsidR="00254D2D" w:rsidRPr="008C2894" w:rsidRDefault="00254D2D" w:rsidP="00254D2D">
            <w:pPr>
              <w:rPr>
                <w:rFonts w:eastAsiaTheme="minorEastAsia"/>
                <w:b/>
                <w:sz w:val="18"/>
                <w:szCs w:val="18"/>
                <w:lang w:val="en-GB"/>
              </w:rPr>
            </w:pPr>
            <w:r w:rsidRPr="008C2894">
              <w:rPr>
                <w:rFonts w:eastAsiaTheme="minorEastAsia"/>
                <w:b/>
                <w:sz w:val="18"/>
                <w:szCs w:val="18"/>
                <w:lang w:val="en-GB"/>
              </w:rPr>
              <w:t>Conclusion</w:t>
            </w:r>
            <w:r w:rsidR="00B01492" w:rsidRPr="008C2894">
              <w:rPr>
                <w:rFonts w:eastAsiaTheme="minorEastAsia"/>
                <w:b/>
                <w:sz w:val="18"/>
                <w:szCs w:val="18"/>
                <w:lang w:val="en-GB"/>
              </w:rPr>
              <w:t xml:space="preserve"> – </w:t>
            </w:r>
            <w:r w:rsidRPr="008C2894">
              <w:rPr>
                <w:rFonts w:eastAsiaTheme="minorEastAsia"/>
                <w:b/>
                <w:sz w:val="18"/>
                <w:szCs w:val="18"/>
                <w:lang w:val="en-GB"/>
              </w:rPr>
              <w:t>Other requirements for admission to trading</w:t>
            </w:r>
          </w:p>
          <w:p w14:paraId="7289B0C3" w14:textId="77777777" w:rsidR="00254D2D" w:rsidRPr="008C2894" w:rsidRDefault="00254D2D" w:rsidP="00254D2D">
            <w:pPr>
              <w:rPr>
                <w:rFonts w:eastAsiaTheme="minorEastAsia"/>
                <w:b/>
                <w:sz w:val="18"/>
                <w:szCs w:val="18"/>
                <w:lang w:val="en-GB"/>
              </w:rPr>
            </w:pPr>
          </w:p>
          <w:p w14:paraId="5E6208A5" w14:textId="7004F7C5" w:rsidR="003E4496" w:rsidRPr="00254D2D" w:rsidRDefault="00254D2D" w:rsidP="008C2894">
            <w:pPr>
              <w:pStyle w:val="Default"/>
              <w:jc w:val="center"/>
              <w:rPr>
                <w:rFonts w:asciiTheme="minorHAnsi" w:hAnsiTheme="minorHAnsi" w:cstheme="minorHAnsi"/>
                <w:lang w:val="en-GB"/>
              </w:rPr>
            </w:pPr>
            <w:r w:rsidRPr="008C2894">
              <w:rPr>
                <w:rFonts w:asciiTheme="minorHAnsi" w:hAnsiTheme="minorHAnsi" w:cstheme="minorHAnsi"/>
                <w:b/>
                <w:sz w:val="18"/>
                <w:szCs w:val="18"/>
                <w:lang w:val="en-GB"/>
              </w:rPr>
              <w:t>--------------------------- Reserved for Oslo Børs ---------------------------</w:t>
            </w:r>
          </w:p>
        </w:tc>
      </w:tr>
    </w:tbl>
    <w:p w14:paraId="7F890D8E" w14:textId="77777777" w:rsidR="00351C54" w:rsidRDefault="00351C54" w:rsidP="00351C54">
      <w:pPr>
        <w:rPr>
          <w:lang w:val="en-GB" w:eastAsia="nb-NO"/>
        </w:rPr>
      </w:pPr>
    </w:p>
    <w:p w14:paraId="129948E8" w14:textId="26566A29" w:rsidR="0090231C" w:rsidRPr="00A76040" w:rsidRDefault="00A432C1" w:rsidP="00254D2D">
      <w:pPr>
        <w:pStyle w:val="Heading2"/>
      </w:pPr>
      <w:r>
        <w:t>C</w:t>
      </w:r>
      <w:r w:rsidR="00254D2D">
        <w:t>onditions for admission to trading to be fulfilled immediately prior to the first day of admission to trading</w:t>
      </w:r>
    </w:p>
    <w:p w14:paraId="1B9A027F" w14:textId="77777777" w:rsidR="00254D2D" w:rsidRPr="00117A98" w:rsidRDefault="00254D2D" w:rsidP="00E76051">
      <w:pPr>
        <w:pStyle w:val="ListParagraph"/>
        <w:numPr>
          <w:ilvl w:val="0"/>
          <w:numId w:val="23"/>
        </w:numPr>
        <w:spacing w:after="120" w:line="240" w:lineRule="auto"/>
        <w:ind w:left="714" w:hanging="357"/>
        <w:jc w:val="both"/>
        <w:rPr>
          <w:rFonts w:cs="Verdana"/>
          <w:sz w:val="20"/>
          <w:szCs w:val="20"/>
          <w:lang w:val="en-GB"/>
        </w:rPr>
      </w:pPr>
      <w:r w:rsidRPr="00117A98">
        <w:rPr>
          <w:rFonts w:cs="Verdana"/>
          <w:sz w:val="20"/>
          <w:szCs w:val="20"/>
          <w:lang w:val="en-GB"/>
        </w:rPr>
        <w:t xml:space="preserve">Oslo Børs may accept that some conditions for admission to trading are not fulfilled until after Oslo Børs has approved the admission and prior to the first day of trading. This may apply, for example, to the requirements in respect of the free transferability of shares, liquidity and finalization of the Information/Presentation Document. Oslo Børs will assess whether it will be possible for such requirements for admission to be satisfied prior to the first day of admission to trading, and it is possible that admission to trading will be made contingent on special conditions included in the resolution approving the company’s admission to trading being satisfied. </w:t>
      </w:r>
    </w:p>
    <w:p w14:paraId="7E5E9288" w14:textId="77777777" w:rsidR="00254D2D" w:rsidRPr="00117A98" w:rsidRDefault="00254D2D" w:rsidP="00E76051">
      <w:pPr>
        <w:pStyle w:val="ListParagraph"/>
        <w:numPr>
          <w:ilvl w:val="0"/>
          <w:numId w:val="23"/>
        </w:numPr>
        <w:spacing w:after="120" w:line="240" w:lineRule="auto"/>
        <w:ind w:left="714" w:hanging="357"/>
        <w:jc w:val="both"/>
        <w:rPr>
          <w:rFonts w:cs="Verdana"/>
          <w:sz w:val="20"/>
          <w:szCs w:val="20"/>
          <w:lang w:val="en-GB"/>
        </w:rPr>
      </w:pPr>
      <w:r w:rsidRPr="00117A98">
        <w:rPr>
          <w:rFonts w:cs="Verdana"/>
          <w:sz w:val="20"/>
          <w:szCs w:val="20"/>
          <w:lang w:val="en-GB"/>
        </w:rPr>
        <w:t xml:space="preserve">Please state which admission to trading conditions that will not be satisfied until after Oslo Børs has approved the application for admission to trading, but prior to the first day of trading. Alternatively, provide a short summary with reference to the relevant section in this application where such matters are addressed in more detail). </w:t>
      </w:r>
    </w:p>
    <w:p w14:paraId="1ABDACD6" w14:textId="3E406515" w:rsidR="0090231C" w:rsidRPr="00A76040" w:rsidRDefault="00A432C1" w:rsidP="0002001C">
      <w:pPr>
        <w:pStyle w:val="Heading2"/>
      </w:pPr>
      <w:r>
        <w:t>G</w:t>
      </w:r>
      <w:r w:rsidR="00254D2D">
        <w:t>eneral conditions</w:t>
      </w:r>
    </w:p>
    <w:p w14:paraId="7CBDB926" w14:textId="7F1E0299" w:rsidR="0090231C" w:rsidRPr="00B01492" w:rsidRDefault="00254D2D" w:rsidP="00254D2D">
      <w:pPr>
        <w:pStyle w:val="Heading3"/>
        <w:rPr>
          <w:sz w:val="20"/>
          <w:szCs w:val="20"/>
        </w:rPr>
      </w:pPr>
      <w:r w:rsidRPr="00B01492">
        <w:rPr>
          <w:sz w:val="20"/>
          <w:szCs w:val="20"/>
        </w:rPr>
        <w:t>Sufficient information and suitability for admission to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060"/>
      </w:tblGrid>
      <w:tr w:rsidR="0090231C" w:rsidRPr="00706E66" w14:paraId="3BEF048C" w14:textId="77777777" w:rsidTr="001549E1">
        <w:tc>
          <w:tcPr>
            <w:tcW w:w="9212" w:type="dxa"/>
            <w:shd w:val="clear" w:color="auto" w:fill="F2F2F2" w:themeFill="background1" w:themeFillShade="F2"/>
          </w:tcPr>
          <w:p w14:paraId="4E96D825" w14:textId="43CC8D4A" w:rsidR="00323DC1" w:rsidRPr="00CF3D93" w:rsidRDefault="00254D2D" w:rsidP="00CF3D93">
            <w:pPr>
              <w:spacing w:after="120"/>
              <w:rPr>
                <w:rFonts w:eastAsiaTheme="minorEastAsia"/>
                <w:b/>
                <w:sz w:val="18"/>
                <w:szCs w:val="18"/>
                <w:lang w:val="en-GB"/>
              </w:rPr>
            </w:pPr>
            <w:r w:rsidRPr="005D43B3">
              <w:rPr>
                <w:b/>
                <w:sz w:val="18"/>
                <w:szCs w:val="18"/>
                <w:lang w:val="en-GB"/>
              </w:rPr>
              <w:t xml:space="preserve">RULE BOOK PART II SECTION </w:t>
            </w:r>
            <w:r w:rsidR="00236A74" w:rsidRPr="005D43B3">
              <w:rPr>
                <w:b/>
                <w:sz w:val="18"/>
                <w:szCs w:val="18"/>
                <w:lang w:val="en-GB"/>
              </w:rPr>
              <w:t>2</w:t>
            </w:r>
            <w:r w:rsidRPr="005D43B3">
              <w:rPr>
                <w:b/>
                <w:sz w:val="18"/>
                <w:szCs w:val="18"/>
                <w:lang w:val="en-GB"/>
              </w:rPr>
              <w:t>.</w:t>
            </w:r>
            <w:r w:rsidR="00236A74" w:rsidRPr="005D43B3">
              <w:rPr>
                <w:b/>
                <w:sz w:val="18"/>
                <w:szCs w:val="18"/>
                <w:lang w:val="en-GB"/>
              </w:rPr>
              <w:t>1</w:t>
            </w:r>
            <w:r w:rsidRPr="005D43B3">
              <w:rPr>
                <w:b/>
                <w:sz w:val="18"/>
                <w:szCs w:val="18"/>
                <w:lang w:val="en-GB"/>
              </w:rPr>
              <w:t>.2.1</w:t>
            </w:r>
          </w:p>
          <w:p w14:paraId="2721C5C2" w14:textId="77777777" w:rsidR="00CF3D93" w:rsidRPr="00CF3D93" w:rsidRDefault="00CF3D93" w:rsidP="00CF3D93">
            <w:pPr>
              <w:pStyle w:val="ListParagraph"/>
              <w:numPr>
                <w:ilvl w:val="0"/>
                <w:numId w:val="39"/>
              </w:numPr>
              <w:spacing w:after="120" w:line="240" w:lineRule="auto"/>
              <w:rPr>
                <w:rFonts w:eastAsiaTheme="minorEastAsia"/>
                <w:sz w:val="18"/>
                <w:szCs w:val="18"/>
                <w:lang w:val="en-GB"/>
              </w:rPr>
            </w:pPr>
            <w:r w:rsidRPr="00CF3D93">
              <w:rPr>
                <w:rFonts w:eastAsiaTheme="minorEastAsia"/>
                <w:sz w:val="18"/>
                <w:szCs w:val="18"/>
                <w:lang w:val="en-GB"/>
              </w:rPr>
              <w:t>Shares issued by a public limited liability company, a private limited liability company or an equivalent foreign company may be admitted to trading provided the Issuer can provide sufficient information for market participants to be in a position to determine fair market prices.</w:t>
            </w:r>
          </w:p>
          <w:p w14:paraId="43BCC56F" w14:textId="6EAA4A48" w:rsidR="00CF3D93" w:rsidRPr="00CF3D93" w:rsidRDefault="00CF3D93" w:rsidP="00CF3D93">
            <w:pPr>
              <w:pStyle w:val="ListParagraph"/>
              <w:numPr>
                <w:ilvl w:val="0"/>
                <w:numId w:val="39"/>
              </w:numPr>
              <w:spacing w:after="120" w:line="240" w:lineRule="auto"/>
              <w:rPr>
                <w:rFonts w:eastAsiaTheme="minorEastAsia"/>
                <w:sz w:val="18"/>
                <w:szCs w:val="18"/>
                <w:lang w:val="en-GB"/>
              </w:rPr>
            </w:pPr>
            <w:r w:rsidRPr="00CF3D93">
              <w:rPr>
                <w:rFonts w:eastAsiaTheme="minorEastAsia"/>
                <w:sz w:val="18"/>
                <w:szCs w:val="18"/>
                <w:lang w:val="en-GB"/>
              </w:rPr>
              <w:t>Oslo Børs may, on the basis of an overall assessment of the suitability of an Issuer and its Shares, decide against admitting the Shares to trading, if Oslo Børs is of the view that this is appropriate in order to protect the interests of investors, general confidence in the stock market and the securities market, or based on any other appropriate grounds pursuant to Rule 3.7.3 of Rule Book Part I. This applies regardless of whether an Issuer satisfies all the requirements for admission to trading. There must be grounds for such refusal, cf. Rule 3.7.3 of Rule Book Part I. In addition to the matters referred to in Rule 3.1.4 of Rule Book Part I, attention will be paid to, inter alia whether significant shareholders have acted in such a manner as to make the Issuer deemed unsuitable for admission to trading. "Significant shareholders" means shareholders who either individually or together with their close associates, cf. the Securities Trading Act Section 2-5, directly or indirectly own or control more than 1/3 of the Share capital or voting capital of the Issuer.</w:t>
            </w:r>
          </w:p>
        </w:tc>
      </w:tr>
    </w:tbl>
    <w:p w14:paraId="26ECA450" w14:textId="77777777" w:rsidR="00254D2D" w:rsidRPr="00A432C1" w:rsidRDefault="00254D2D" w:rsidP="00254D2D">
      <w:pPr>
        <w:rPr>
          <w:sz w:val="24"/>
          <w:lang w:val="en-US"/>
        </w:rPr>
      </w:pPr>
      <w:bookmarkStart w:id="59" w:name="_Toc50730106"/>
    </w:p>
    <w:p w14:paraId="42EB5C53" w14:textId="77777777" w:rsidR="00254D2D" w:rsidRPr="00117A98" w:rsidRDefault="00254D2D" w:rsidP="00E76051">
      <w:pPr>
        <w:pStyle w:val="test"/>
        <w:numPr>
          <w:ilvl w:val="0"/>
          <w:numId w:val="24"/>
        </w:numPr>
        <w:spacing w:after="120" w:line="240" w:lineRule="auto"/>
        <w:ind w:left="714" w:hanging="357"/>
        <w:jc w:val="both"/>
        <w:rPr>
          <w:rFonts w:asciiTheme="minorHAnsi" w:hAnsiTheme="minorHAnsi"/>
          <w:sz w:val="20"/>
          <w:lang w:val="en-GB"/>
        </w:rPr>
      </w:pPr>
      <w:r w:rsidRPr="00117A98">
        <w:rPr>
          <w:rFonts w:asciiTheme="minorHAnsi" w:hAnsiTheme="minorHAnsi"/>
          <w:sz w:val="20"/>
          <w:lang w:val="en-GB"/>
        </w:rPr>
        <w:lastRenderedPageBreak/>
        <w:t>Please comment briefly on whether the Issuer can provide sufficient information for market participants to be in a position to determine fair market prices.</w:t>
      </w:r>
    </w:p>
    <w:p w14:paraId="2562C949" w14:textId="745B1FD2" w:rsidR="00254D2D" w:rsidRPr="00B01492" w:rsidRDefault="00254D2D" w:rsidP="00E76051">
      <w:pPr>
        <w:pStyle w:val="test"/>
        <w:numPr>
          <w:ilvl w:val="0"/>
          <w:numId w:val="24"/>
        </w:numPr>
        <w:spacing w:after="120" w:line="240" w:lineRule="auto"/>
        <w:ind w:left="714" w:hanging="357"/>
        <w:jc w:val="both"/>
        <w:rPr>
          <w:rFonts w:asciiTheme="minorHAnsi" w:hAnsiTheme="minorHAnsi"/>
          <w:sz w:val="20"/>
          <w:lang w:val="en-GB"/>
        </w:rPr>
      </w:pPr>
      <w:r w:rsidRPr="00117A98">
        <w:rPr>
          <w:rFonts w:asciiTheme="minorHAnsi" w:hAnsiTheme="minorHAnsi"/>
          <w:sz w:val="20"/>
          <w:lang w:val="en-GB"/>
        </w:rPr>
        <w:t xml:space="preserve">Please provide information on any matters that may cause persons or companies that are “significant shareholders” as described in </w:t>
      </w:r>
      <w:r w:rsidRPr="005D43B3">
        <w:rPr>
          <w:rFonts w:asciiTheme="minorHAnsi" w:hAnsiTheme="minorHAnsi"/>
          <w:sz w:val="20"/>
          <w:lang w:val="en-GB"/>
        </w:rPr>
        <w:t xml:space="preserve">Rule Book Part II section </w:t>
      </w:r>
      <w:r w:rsidR="00236A74" w:rsidRPr="005D43B3">
        <w:rPr>
          <w:rFonts w:asciiTheme="minorHAnsi" w:hAnsiTheme="minorHAnsi"/>
          <w:sz w:val="20"/>
          <w:lang w:val="en-GB"/>
        </w:rPr>
        <w:t>2</w:t>
      </w:r>
      <w:r w:rsidRPr="005D43B3">
        <w:rPr>
          <w:rFonts w:asciiTheme="minorHAnsi" w:hAnsiTheme="minorHAnsi"/>
          <w:sz w:val="20"/>
          <w:lang w:val="en-GB"/>
        </w:rPr>
        <w:t>.</w:t>
      </w:r>
      <w:r w:rsidR="00236A74" w:rsidRPr="005D43B3">
        <w:rPr>
          <w:rFonts w:asciiTheme="minorHAnsi" w:hAnsiTheme="minorHAnsi"/>
          <w:sz w:val="20"/>
          <w:lang w:val="en-GB"/>
        </w:rPr>
        <w:t>1</w:t>
      </w:r>
      <w:r w:rsidRPr="005D43B3">
        <w:rPr>
          <w:rFonts w:asciiTheme="minorHAnsi" w:hAnsiTheme="minorHAnsi"/>
          <w:sz w:val="20"/>
          <w:lang w:val="en-GB"/>
        </w:rPr>
        <w:t>.2.1,</w:t>
      </w:r>
      <w:r w:rsidRPr="00117A98">
        <w:rPr>
          <w:rFonts w:asciiTheme="minorHAnsi" w:hAnsiTheme="minorHAnsi"/>
          <w:sz w:val="20"/>
          <w:lang w:val="en-GB"/>
        </w:rPr>
        <w:t xml:space="preserve"> to be deemed to have acted in such a way as to mean that the Issuer is unsuitable for admission to trading on Euronext Growth Oslo, including information on whether significant shareholders have been involved in matters that have resulted in, or may result in, criminal convictions or other sanctions for breaches of Norwegian or foreign securities and accounting laws. In addition, information shall be provided on any breaches of other laws related to financial matters, as well as any involvement in bankruptcy or corporate insolvencies, which may be material to the assessment of whether the Issuer satisfies the suitability requirement pursuant to </w:t>
      </w:r>
      <w:r w:rsidRPr="005D43B3">
        <w:rPr>
          <w:rFonts w:asciiTheme="minorHAnsi" w:hAnsiTheme="minorHAnsi"/>
          <w:sz w:val="20"/>
          <w:lang w:val="en-GB"/>
        </w:rPr>
        <w:t xml:space="preserve">Rule Book Part II section </w:t>
      </w:r>
      <w:r w:rsidR="00236A74" w:rsidRPr="005D43B3">
        <w:rPr>
          <w:rFonts w:asciiTheme="minorHAnsi" w:hAnsiTheme="minorHAnsi"/>
          <w:sz w:val="20"/>
          <w:lang w:val="en-GB"/>
        </w:rPr>
        <w:t>2</w:t>
      </w:r>
      <w:r w:rsidRPr="005D43B3">
        <w:rPr>
          <w:rFonts w:asciiTheme="minorHAnsi" w:hAnsiTheme="minorHAnsi"/>
          <w:sz w:val="20"/>
          <w:lang w:val="en-GB"/>
        </w:rPr>
        <w:t>.</w:t>
      </w:r>
      <w:r w:rsidR="00236A74" w:rsidRPr="005D43B3">
        <w:rPr>
          <w:rFonts w:asciiTheme="minorHAnsi" w:hAnsiTheme="minorHAnsi"/>
          <w:sz w:val="20"/>
          <w:lang w:val="en-GB"/>
        </w:rPr>
        <w:t>1</w:t>
      </w:r>
      <w:r w:rsidRPr="005D43B3">
        <w:rPr>
          <w:rFonts w:asciiTheme="minorHAnsi" w:hAnsiTheme="minorHAnsi"/>
          <w:sz w:val="20"/>
          <w:lang w:val="en-GB"/>
        </w:rPr>
        <w:t>.2.1.</w:t>
      </w:r>
    </w:p>
    <w:p w14:paraId="59D0B2A9" w14:textId="490D56B3" w:rsidR="00254D2D" w:rsidRPr="00B01492" w:rsidRDefault="00254D2D" w:rsidP="00254D2D">
      <w:pPr>
        <w:pStyle w:val="Heading3"/>
        <w:rPr>
          <w:sz w:val="20"/>
          <w:szCs w:val="20"/>
        </w:rPr>
      </w:pPr>
      <w:r w:rsidRPr="00B01492">
        <w:rPr>
          <w:sz w:val="20"/>
          <w:szCs w:val="20"/>
        </w:rPr>
        <w:t>The Issuers’ legal standing</w:t>
      </w:r>
    </w:p>
    <w:tbl>
      <w:tblPr>
        <w:tblStyle w:val="TableGrid"/>
        <w:tblW w:w="0" w:type="auto"/>
        <w:tblLook w:val="04A0" w:firstRow="1" w:lastRow="0" w:firstColumn="1" w:lastColumn="0" w:noHBand="0" w:noVBand="1"/>
      </w:tblPr>
      <w:tblGrid>
        <w:gridCol w:w="9060"/>
      </w:tblGrid>
      <w:tr w:rsidR="00254D2D" w:rsidRPr="00706E66" w14:paraId="0E49FCB0" w14:textId="77777777" w:rsidTr="00254D2D">
        <w:tc>
          <w:tcPr>
            <w:tcW w:w="9060" w:type="dxa"/>
            <w:shd w:val="clear" w:color="auto" w:fill="F2F2F2" w:themeFill="background1" w:themeFillShade="F2"/>
          </w:tcPr>
          <w:p w14:paraId="2CCE266F" w14:textId="199D7EA6" w:rsidR="00254D2D" w:rsidRPr="007B3F0F" w:rsidRDefault="00254D2D" w:rsidP="007B3F0F">
            <w:pPr>
              <w:spacing w:after="120"/>
              <w:rPr>
                <w:b/>
                <w:sz w:val="18"/>
                <w:szCs w:val="18"/>
                <w:lang w:val="en-GB"/>
              </w:rPr>
            </w:pPr>
            <w:r w:rsidRPr="00BE491A">
              <w:rPr>
                <w:b/>
                <w:sz w:val="18"/>
                <w:szCs w:val="18"/>
                <w:lang w:val="en-GB"/>
              </w:rPr>
              <w:t>RULE BOOK PART I RULE 3.1.3</w:t>
            </w:r>
          </w:p>
          <w:p w14:paraId="198494B7" w14:textId="6FE1045F" w:rsidR="007B3F0F" w:rsidRPr="007B3F0F" w:rsidRDefault="007B3F0F" w:rsidP="007B3F0F">
            <w:pPr>
              <w:spacing w:after="120"/>
              <w:rPr>
                <w:lang w:val="en-US" w:eastAsia="nb-NO"/>
              </w:rPr>
            </w:pPr>
            <w:r w:rsidRPr="007B3F0F">
              <w:rPr>
                <w:sz w:val="18"/>
                <w:szCs w:val="18"/>
                <w:lang w:val="en-GB" w:eastAsia="nb-NO"/>
              </w:rPr>
              <w:t>Upon first admission to trading and for as long as the Securities are admitted to trading on any Euronext Growth Market Issuer must be validly incorporated and its legal form, structure and business activities must be in accordance with applicable laws and regulations, with its articles of association and other constitutional documents and with the requirements prescribed by any relevant competent authority.</w:t>
            </w:r>
          </w:p>
        </w:tc>
      </w:tr>
    </w:tbl>
    <w:p w14:paraId="6D4CEE03" w14:textId="77777777" w:rsidR="00254D2D" w:rsidRDefault="00254D2D" w:rsidP="00254D2D">
      <w:pPr>
        <w:pStyle w:val="ListParagraph"/>
        <w:spacing w:after="0" w:line="240" w:lineRule="auto"/>
        <w:ind w:left="720"/>
        <w:contextualSpacing/>
        <w:rPr>
          <w:rFonts w:cs="Verdana"/>
          <w:sz w:val="20"/>
          <w:szCs w:val="20"/>
          <w:lang w:val="en-GB"/>
        </w:rPr>
      </w:pPr>
    </w:p>
    <w:p w14:paraId="54842A05" w14:textId="77777777" w:rsidR="00254D2D" w:rsidRPr="00117A98" w:rsidRDefault="00254D2D" w:rsidP="00E76051">
      <w:pPr>
        <w:pStyle w:val="ListParagraph"/>
        <w:numPr>
          <w:ilvl w:val="0"/>
          <w:numId w:val="25"/>
        </w:numPr>
        <w:spacing w:after="0" w:line="240" w:lineRule="auto"/>
        <w:contextualSpacing/>
        <w:jc w:val="both"/>
        <w:rPr>
          <w:rFonts w:cs="Verdana"/>
          <w:sz w:val="20"/>
          <w:szCs w:val="20"/>
          <w:lang w:val="en-GB"/>
        </w:rPr>
      </w:pPr>
      <w:r w:rsidRPr="00117A98">
        <w:rPr>
          <w:rFonts w:cs="Verdana"/>
          <w:sz w:val="20"/>
          <w:szCs w:val="20"/>
          <w:lang w:val="en-GB"/>
        </w:rPr>
        <w:t>Please confirm that the Issuer is validly incorporated and operates its business activities in accordance with its articles of association and current legislation.</w:t>
      </w:r>
    </w:p>
    <w:p w14:paraId="0072A414" w14:textId="77777777" w:rsidR="00254D2D" w:rsidRDefault="00254D2D" w:rsidP="00254D2D">
      <w:pPr>
        <w:rPr>
          <w:sz w:val="20"/>
          <w:lang w:val="en-GB" w:eastAsia="nb-NO"/>
        </w:rPr>
      </w:pPr>
    </w:p>
    <w:tbl>
      <w:tblPr>
        <w:tblStyle w:val="TableGrid"/>
        <w:tblW w:w="0" w:type="auto"/>
        <w:tblLook w:val="04A0" w:firstRow="1" w:lastRow="0" w:firstColumn="1" w:lastColumn="0" w:noHBand="0" w:noVBand="1"/>
      </w:tblPr>
      <w:tblGrid>
        <w:gridCol w:w="9060"/>
      </w:tblGrid>
      <w:tr w:rsidR="00254D2D" w:rsidRPr="00706E66" w14:paraId="04FC7567" w14:textId="77777777" w:rsidTr="00254D2D">
        <w:tc>
          <w:tcPr>
            <w:tcW w:w="9060" w:type="dxa"/>
            <w:shd w:val="clear" w:color="auto" w:fill="F2F2F2" w:themeFill="background1" w:themeFillShade="F2"/>
          </w:tcPr>
          <w:p w14:paraId="58811DBF" w14:textId="62BB587E" w:rsidR="00254D2D" w:rsidRPr="008C2894" w:rsidRDefault="00254D2D" w:rsidP="00254D2D">
            <w:pPr>
              <w:rPr>
                <w:rFonts w:eastAsiaTheme="minorEastAsia"/>
                <w:b/>
                <w:sz w:val="18"/>
                <w:szCs w:val="18"/>
                <w:lang w:val="en-GB"/>
              </w:rPr>
            </w:pPr>
            <w:r w:rsidRPr="008C2894">
              <w:rPr>
                <w:rFonts w:eastAsiaTheme="minorEastAsia"/>
                <w:b/>
                <w:sz w:val="18"/>
                <w:szCs w:val="18"/>
                <w:lang w:val="en-GB"/>
              </w:rPr>
              <w:t>Conclusion</w:t>
            </w:r>
            <w:r w:rsidR="00B01492" w:rsidRPr="008C2894">
              <w:rPr>
                <w:rFonts w:eastAsiaTheme="minorEastAsia"/>
                <w:b/>
                <w:sz w:val="18"/>
                <w:szCs w:val="18"/>
                <w:lang w:val="en-GB"/>
              </w:rPr>
              <w:t xml:space="preserve"> – </w:t>
            </w:r>
            <w:r w:rsidRPr="008C2894">
              <w:rPr>
                <w:rFonts w:eastAsiaTheme="minorEastAsia"/>
                <w:b/>
                <w:sz w:val="18"/>
                <w:szCs w:val="18"/>
                <w:lang w:val="en-GB"/>
              </w:rPr>
              <w:t>General conditions</w:t>
            </w:r>
          </w:p>
          <w:p w14:paraId="6C5F0658" w14:textId="77777777" w:rsidR="00254D2D" w:rsidRPr="008C2894" w:rsidRDefault="00254D2D" w:rsidP="00254D2D">
            <w:pPr>
              <w:rPr>
                <w:rFonts w:eastAsiaTheme="minorEastAsia"/>
                <w:b/>
                <w:sz w:val="18"/>
                <w:szCs w:val="18"/>
                <w:lang w:val="en-GB"/>
              </w:rPr>
            </w:pPr>
          </w:p>
          <w:p w14:paraId="45B67D94" w14:textId="12D49EE8" w:rsidR="00254D2D" w:rsidRDefault="00254D2D" w:rsidP="008C2894">
            <w:pPr>
              <w:jc w:val="center"/>
              <w:rPr>
                <w:sz w:val="20"/>
                <w:lang w:val="en-GB" w:eastAsia="nb-NO"/>
              </w:rPr>
            </w:pPr>
            <w:r w:rsidRPr="008C2894">
              <w:rPr>
                <w:rFonts w:cstheme="minorHAnsi"/>
                <w:b/>
                <w:sz w:val="18"/>
                <w:szCs w:val="18"/>
                <w:lang w:val="en-GB"/>
              </w:rPr>
              <w:t>--------------------------- Reserved for Oslo Børs ---------------------------</w:t>
            </w:r>
          </w:p>
        </w:tc>
      </w:tr>
    </w:tbl>
    <w:p w14:paraId="365B9E4D" w14:textId="77777777" w:rsidR="00254D2D" w:rsidRDefault="00254D2D" w:rsidP="00254D2D">
      <w:pPr>
        <w:rPr>
          <w:sz w:val="20"/>
          <w:lang w:val="en-GB" w:eastAsia="nb-NO"/>
        </w:rPr>
      </w:pPr>
    </w:p>
    <w:p w14:paraId="0877B8EC" w14:textId="77777777" w:rsidR="00254D2D" w:rsidRDefault="00254D2D" w:rsidP="00254D2D">
      <w:pPr>
        <w:rPr>
          <w:sz w:val="20"/>
          <w:lang w:val="en-GB" w:eastAsia="nb-NO"/>
        </w:rPr>
      </w:pPr>
    </w:p>
    <w:tbl>
      <w:tblPr>
        <w:tblStyle w:val="TableGrid"/>
        <w:tblW w:w="0" w:type="auto"/>
        <w:tblLook w:val="04A0" w:firstRow="1" w:lastRow="0" w:firstColumn="1" w:lastColumn="0" w:noHBand="0" w:noVBand="1"/>
      </w:tblPr>
      <w:tblGrid>
        <w:gridCol w:w="9060"/>
      </w:tblGrid>
      <w:tr w:rsidR="00254D2D" w:rsidRPr="00706E66" w14:paraId="7DE4FE8E" w14:textId="77777777" w:rsidTr="00254D2D">
        <w:tc>
          <w:tcPr>
            <w:tcW w:w="9060" w:type="dxa"/>
            <w:shd w:val="clear" w:color="auto" w:fill="F2F2F2" w:themeFill="background1" w:themeFillShade="F2"/>
          </w:tcPr>
          <w:p w14:paraId="494F9AA3" w14:textId="198305A4" w:rsidR="00254D2D" w:rsidRPr="008C2894" w:rsidRDefault="00254D2D" w:rsidP="00254D2D">
            <w:pPr>
              <w:rPr>
                <w:rFonts w:eastAsiaTheme="minorEastAsia"/>
                <w:b/>
                <w:sz w:val="18"/>
                <w:szCs w:val="18"/>
                <w:lang w:val="en-GB"/>
              </w:rPr>
            </w:pPr>
            <w:r w:rsidRPr="008C2894">
              <w:rPr>
                <w:rFonts w:eastAsiaTheme="minorEastAsia"/>
                <w:b/>
                <w:sz w:val="18"/>
                <w:szCs w:val="18"/>
                <w:lang w:val="en-GB"/>
              </w:rPr>
              <w:t>Overall conclusion</w:t>
            </w:r>
          </w:p>
          <w:p w14:paraId="0DEC4E43" w14:textId="77777777" w:rsidR="00254D2D" w:rsidRPr="008C2894" w:rsidRDefault="00254D2D" w:rsidP="00254D2D">
            <w:pPr>
              <w:rPr>
                <w:rFonts w:eastAsiaTheme="minorEastAsia"/>
                <w:b/>
                <w:sz w:val="18"/>
                <w:szCs w:val="18"/>
                <w:lang w:val="en-GB"/>
              </w:rPr>
            </w:pPr>
          </w:p>
          <w:p w14:paraId="31CC18ED" w14:textId="553319B4" w:rsidR="00254D2D" w:rsidRDefault="00254D2D" w:rsidP="008C2894">
            <w:pPr>
              <w:jc w:val="center"/>
              <w:rPr>
                <w:sz w:val="20"/>
                <w:lang w:val="en-GB" w:eastAsia="nb-NO"/>
              </w:rPr>
            </w:pPr>
            <w:r w:rsidRPr="008C2894">
              <w:rPr>
                <w:rFonts w:cstheme="minorHAnsi"/>
                <w:b/>
                <w:sz w:val="18"/>
                <w:szCs w:val="18"/>
                <w:lang w:val="en-GB"/>
              </w:rPr>
              <w:t>--------------------------- Reserved for Oslo Børs ---------------------------</w:t>
            </w:r>
          </w:p>
        </w:tc>
      </w:tr>
    </w:tbl>
    <w:p w14:paraId="73FDDF2B" w14:textId="77777777" w:rsidR="00254D2D" w:rsidRPr="00254D2D" w:rsidRDefault="00254D2D" w:rsidP="00254D2D">
      <w:pPr>
        <w:rPr>
          <w:sz w:val="20"/>
          <w:lang w:val="en-GB" w:eastAsia="nb-NO"/>
        </w:rPr>
      </w:pPr>
    </w:p>
    <w:p w14:paraId="5B8E44CD" w14:textId="1550641F" w:rsidR="0090231C" w:rsidRPr="00A76040" w:rsidRDefault="00D949B7" w:rsidP="0002001C">
      <w:pPr>
        <w:pStyle w:val="Heading2"/>
      </w:pPr>
      <w:r w:rsidRPr="00A76040">
        <w:t xml:space="preserve">Admission to trading of </w:t>
      </w:r>
      <w:r w:rsidR="00A432C1">
        <w:t>S</w:t>
      </w:r>
      <w:r w:rsidRPr="00A76040">
        <w:t xml:space="preserve">hares </w:t>
      </w:r>
      <w:bookmarkEnd w:id="59"/>
      <w:r w:rsidR="00254D2D">
        <w:t>on an “if and when issued/delivered” basis</w:t>
      </w:r>
    </w:p>
    <w:tbl>
      <w:tblPr>
        <w:tblpPr w:leftFromText="141" w:rightFromText="141"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060"/>
      </w:tblGrid>
      <w:tr w:rsidR="00725FD5" w:rsidRPr="00706E66" w14:paraId="6CC934A0" w14:textId="77777777" w:rsidTr="00725FD5">
        <w:tc>
          <w:tcPr>
            <w:tcW w:w="9060" w:type="dxa"/>
            <w:shd w:val="clear" w:color="auto" w:fill="F2F2F2" w:themeFill="background1" w:themeFillShade="F2"/>
          </w:tcPr>
          <w:p w14:paraId="5F676D54" w14:textId="5E80F1D3" w:rsidR="00725FD5" w:rsidRPr="00511356" w:rsidRDefault="00254D2D" w:rsidP="00511356">
            <w:pPr>
              <w:spacing w:after="120"/>
              <w:rPr>
                <w:b/>
                <w:sz w:val="18"/>
                <w:szCs w:val="20"/>
                <w:lang w:val="en-US"/>
              </w:rPr>
            </w:pPr>
            <w:r w:rsidRPr="0052201E">
              <w:rPr>
                <w:b/>
                <w:sz w:val="18"/>
                <w:szCs w:val="20"/>
                <w:lang w:val="en-US"/>
              </w:rPr>
              <w:t xml:space="preserve">RULE BOOK PART II SECTION </w:t>
            </w:r>
            <w:r w:rsidR="00125F3E" w:rsidRPr="0052201E">
              <w:rPr>
                <w:b/>
                <w:sz w:val="18"/>
                <w:szCs w:val="20"/>
                <w:lang w:val="en-US"/>
              </w:rPr>
              <w:t>2</w:t>
            </w:r>
            <w:r w:rsidRPr="0052201E">
              <w:rPr>
                <w:b/>
                <w:sz w:val="18"/>
                <w:szCs w:val="20"/>
                <w:lang w:val="en-US"/>
              </w:rPr>
              <w:t>.</w:t>
            </w:r>
            <w:r w:rsidR="00125F3E" w:rsidRPr="0052201E">
              <w:rPr>
                <w:b/>
                <w:sz w:val="18"/>
                <w:szCs w:val="20"/>
                <w:lang w:val="en-US"/>
              </w:rPr>
              <w:t>1</w:t>
            </w:r>
            <w:r w:rsidRPr="0052201E">
              <w:rPr>
                <w:b/>
                <w:sz w:val="18"/>
                <w:szCs w:val="20"/>
                <w:lang w:val="en-US"/>
              </w:rPr>
              <w:t>.6.2</w:t>
            </w:r>
          </w:p>
          <w:p w14:paraId="007BADF3" w14:textId="609E3479" w:rsidR="00511356" w:rsidRPr="00511356" w:rsidRDefault="00511356" w:rsidP="00511356">
            <w:pPr>
              <w:pStyle w:val="Default"/>
              <w:numPr>
                <w:ilvl w:val="0"/>
                <w:numId w:val="40"/>
              </w:numPr>
              <w:spacing w:after="120"/>
              <w:rPr>
                <w:rFonts w:asciiTheme="minorHAnsi" w:hAnsiTheme="minorHAnsi"/>
                <w:color w:val="auto"/>
                <w:sz w:val="18"/>
                <w:szCs w:val="20"/>
                <w:lang w:val="en-US"/>
              </w:rPr>
            </w:pPr>
            <w:r w:rsidRPr="00511356">
              <w:rPr>
                <w:rFonts w:asciiTheme="minorHAnsi" w:hAnsiTheme="minorHAnsi"/>
                <w:color w:val="auto"/>
                <w:sz w:val="18"/>
                <w:szCs w:val="20"/>
                <w:lang w:val="en-US"/>
              </w:rPr>
              <w:t>Oslo Børs</w:t>
            </w:r>
            <w:r>
              <w:rPr>
                <w:rFonts w:asciiTheme="minorHAnsi" w:hAnsiTheme="minorHAnsi"/>
                <w:color w:val="auto"/>
                <w:sz w:val="18"/>
                <w:szCs w:val="20"/>
                <w:lang w:val="en-US"/>
              </w:rPr>
              <w:t xml:space="preserve"> </w:t>
            </w:r>
            <w:r w:rsidRPr="00511356">
              <w:rPr>
                <w:rFonts w:asciiTheme="minorHAnsi" w:hAnsiTheme="minorHAnsi"/>
                <w:color w:val="auto"/>
                <w:sz w:val="18"/>
                <w:szCs w:val="20"/>
                <w:lang w:val="en-US"/>
              </w:rPr>
              <w:t>may at the request of the Issuer in special circumstances decide to admit Shares to trading that have not yet been effectively issued and/or delivered ("if and when issued/delivered" trading).</w:t>
            </w:r>
          </w:p>
          <w:p w14:paraId="1A77461B" w14:textId="0E6BF753" w:rsidR="00511356" w:rsidRPr="00511356" w:rsidRDefault="00511356" w:rsidP="00511356">
            <w:pPr>
              <w:pStyle w:val="Default"/>
              <w:numPr>
                <w:ilvl w:val="0"/>
                <w:numId w:val="40"/>
              </w:numPr>
              <w:spacing w:after="120"/>
              <w:rPr>
                <w:rFonts w:asciiTheme="minorHAnsi" w:hAnsiTheme="minorHAnsi"/>
                <w:color w:val="auto"/>
                <w:sz w:val="18"/>
                <w:szCs w:val="20"/>
                <w:lang w:val="en-US"/>
              </w:rPr>
            </w:pPr>
            <w:r>
              <w:rPr>
                <w:rFonts w:asciiTheme="minorHAnsi" w:hAnsiTheme="minorHAnsi"/>
                <w:color w:val="auto"/>
                <w:sz w:val="18"/>
                <w:szCs w:val="20"/>
                <w:lang w:val="en-US"/>
              </w:rPr>
              <w:t xml:space="preserve">Admission </w:t>
            </w:r>
            <w:r w:rsidRPr="00511356">
              <w:rPr>
                <w:rFonts w:asciiTheme="minorHAnsi" w:hAnsiTheme="minorHAnsi"/>
                <w:color w:val="auto"/>
                <w:sz w:val="18"/>
                <w:szCs w:val="20"/>
                <w:lang w:val="en-US"/>
              </w:rPr>
              <w:t>to trading in such a situation as mentioned in the first paragraph must follow the rules for trading on "if and when issued/delivered" basis that applies for Oslo Børs’ Regulated Markets for Shares, Oslo Børs and Euronext Expand.</w:t>
            </w:r>
          </w:p>
        </w:tc>
      </w:tr>
    </w:tbl>
    <w:p w14:paraId="7DF4CE84" w14:textId="77777777" w:rsidR="004E1FE0" w:rsidRPr="00511356" w:rsidRDefault="004E1FE0" w:rsidP="004E1FE0">
      <w:pPr>
        <w:rPr>
          <w:i/>
          <w:sz w:val="20"/>
          <w:lang w:val="en-US"/>
        </w:rPr>
      </w:pPr>
    </w:p>
    <w:p w14:paraId="23DDD9F9" w14:textId="4E3D505E" w:rsidR="002C3FEA" w:rsidRDefault="00254D2D" w:rsidP="00E76051">
      <w:pPr>
        <w:pStyle w:val="ListParagraph"/>
        <w:numPr>
          <w:ilvl w:val="0"/>
          <w:numId w:val="26"/>
        </w:numPr>
        <w:spacing w:after="120" w:line="240" w:lineRule="auto"/>
        <w:ind w:left="714" w:hanging="357"/>
        <w:contextualSpacing/>
        <w:jc w:val="both"/>
        <w:rPr>
          <w:rFonts w:cs="Verdana"/>
          <w:sz w:val="20"/>
          <w:szCs w:val="20"/>
          <w:lang w:val="en-GB"/>
        </w:rPr>
      </w:pPr>
      <w:r w:rsidRPr="00117A98">
        <w:rPr>
          <w:rFonts w:cs="Verdana"/>
          <w:sz w:val="20"/>
          <w:szCs w:val="20"/>
          <w:lang w:val="en-GB"/>
        </w:rPr>
        <w:t>Oslo Børs may in special circumstances agree to admit new Shares to trading after they have been allotted but before they are fully paid-up and registered with the Register of Business Enterprises and the central securities depository (“if and when issued/delivered” trading). Please provide information if the Issuer intends the Shares to be admitted on an “if and when issued/delivered” basis. If not relevant, state this.</w:t>
      </w:r>
    </w:p>
    <w:p w14:paraId="21411305" w14:textId="44774526" w:rsidR="007F17AF" w:rsidRPr="00804955" w:rsidRDefault="001854EE" w:rsidP="001854EE">
      <w:pPr>
        <w:pStyle w:val="Heading2"/>
      </w:pPr>
      <w:r w:rsidRPr="00522F3C">
        <w:t>EURONEXT GROWTH ADVISOR - INDEPENDENCY AND CONFLICTS OF INTERESTS</w:t>
      </w:r>
    </w:p>
    <w:tbl>
      <w:tblPr>
        <w:tblpPr w:leftFromText="141" w:rightFromText="141"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060"/>
      </w:tblGrid>
      <w:tr w:rsidR="00710B63" w:rsidRPr="00706E66" w14:paraId="63AE9030" w14:textId="77777777" w:rsidTr="00C4212C">
        <w:tc>
          <w:tcPr>
            <w:tcW w:w="9060" w:type="dxa"/>
            <w:shd w:val="clear" w:color="auto" w:fill="F2F2F2" w:themeFill="background1" w:themeFillShade="F2"/>
          </w:tcPr>
          <w:p w14:paraId="0CE55841" w14:textId="77777777" w:rsidR="00710B63" w:rsidRPr="00714FAB" w:rsidRDefault="00710B63" w:rsidP="00C4212C">
            <w:pPr>
              <w:spacing w:after="120"/>
              <w:rPr>
                <w:b/>
                <w:sz w:val="18"/>
                <w:szCs w:val="20"/>
                <w:lang w:val="en-US"/>
              </w:rPr>
            </w:pPr>
            <w:r w:rsidRPr="00714FAB">
              <w:rPr>
                <w:b/>
                <w:sz w:val="18"/>
                <w:szCs w:val="20"/>
                <w:lang w:val="en-US"/>
              </w:rPr>
              <w:t>RULE BOOK PART II SECTION 5.2.2</w:t>
            </w:r>
          </w:p>
          <w:p w14:paraId="5B3264C2" w14:textId="1BEA61A5" w:rsidR="0066650A" w:rsidRPr="00522F3C" w:rsidRDefault="004F0087" w:rsidP="00522F3C">
            <w:pPr>
              <w:pStyle w:val="ListParagraph"/>
              <w:numPr>
                <w:ilvl w:val="0"/>
                <w:numId w:val="44"/>
              </w:numPr>
              <w:rPr>
                <w:rFonts w:asciiTheme="minorHAnsi" w:hAnsiTheme="minorHAnsi"/>
                <w:sz w:val="18"/>
                <w:szCs w:val="20"/>
                <w:lang w:val="en-US"/>
              </w:rPr>
            </w:pPr>
            <w:r w:rsidRPr="004F0087">
              <w:rPr>
                <w:rFonts w:asciiTheme="minorHAnsi" w:hAnsiTheme="minorHAnsi" w:cs="Verdana"/>
                <w:sz w:val="18"/>
                <w:szCs w:val="20"/>
                <w:lang w:val="en-US"/>
              </w:rPr>
              <w:lastRenderedPageBreak/>
              <w:t xml:space="preserve">The Euronext Growth Advisor shall have internal procedures in place, </w:t>
            </w:r>
            <w:proofErr w:type="spellStart"/>
            <w:r w:rsidRPr="004F0087">
              <w:rPr>
                <w:rFonts w:asciiTheme="minorHAnsi" w:hAnsiTheme="minorHAnsi" w:cs="Verdana"/>
                <w:sz w:val="18"/>
                <w:szCs w:val="20"/>
                <w:lang w:val="en-US"/>
              </w:rPr>
              <w:t>organisation</w:t>
            </w:r>
            <w:proofErr w:type="spellEnd"/>
            <w:r w:rsidRPr="004F0087">
              <w:rPr>
                <w:rFonts w:asciiTheme="minorHAnsi" w:hAnsiTheme="minorHAnsi" w:cs="Verdana"/>
                <w:sz w:val="18"/>
                <w:szCs w:val="20"/>
                <w:lang w:val="en-US"/>
              </w:rPr>
              <w:t xml:space="preserve"> and routines to identify, mitigate and disclose any </w:t>
            </w:r>
            <w:proofErr w:type="spellStart"/>
            <w:r w:rsidRPr="004F0087">
              <w:rPr>
                <w:rFonts w:asciiTheme="minorHAnsi" w:hAnsiTheme="minorHAnsi" w:cs="Verdana"/>
                <w:sz w:val="18"/>
                <w:szCs w:val="20"/>
                <w:lang w:val="en-US"/>
              </w:rPr>
              <w:t>conlicts</w:t>
            </w:r>
            <w:proofErr w:type="spellEnd"/>
            <w:r w:rsidRPr="004F0087">
              <w:rPr>
                <w:rFonts w:asciiTheme="minorHAnsi" w:hAnsiTheme="minorHAnsi" w:cs="Verdana"/>
                <w:sz w:val="18"/>
                <w:szCs w:val="20"/>
                <w:lang w:val="en-US"/>
              </w:rPr>
              <w:t xml:space="preserve"> of interests.</w:t>
            </w:r>
          </w:p>
          <w:p w14:paraId="55777321" w14:textId="1D2CCFF3" w:rsidR="00710B63" w:rsidRPr="00714FAB" w:rsidRDefault="00710B63" w:rsidP="00522F3C">
            <w:pPr>
              <w:pStyle w:val="Default"/>
              <w:numPr>
                <w:ilvl w:val="0"/>
                <w:numId w:val="44"/>
              </w:numPr>
              <w:spacing w:after="120"/>
              <w:rPr>
                <w:rFonts w:asciiTheme="minorHAnsi" w:hAnsiTheme="minorHAnsi"/>
                <w:color w:val="auto"/>
                <w:sz w:val="18"/>
                <w:szCs w:val="20"/>
                <w:lang w:val="en-US"/>
              </w:rPr>
            </w:pPr>
            <w:r w:rsidRPr="00714FAB">
              <w:rPr>
                <w:rFonts w:asciiTheme="minorHAnsi" w:hAnsiTheme="minorHAnsi"/>
                <w:color w:val="auto"/>
                <w:sz w:val="18"/>
                <w:szCs w:val="20"/>
                <w:lang w:val="en-US"/>
              </w:rPr>
              <w:t xml:space="preserve">It is a requirement that the Euronext Growth Advisor, its employees and any other companies that are part of the same group as the Euronext Growth Advisor must be independent of the Issuer to which it provides assistance in connection with admission to trading on Euronext Growth Oslo: </w:t>
            </w:r>
          </w:p>
          <w:p w14:paraId="628897B2" w14:textId="77777777" w:rsidR="00710B63" w:rsidRPr="00714FAB" w:rsidRDefault="00710B63" w:rsidP="00710B63">
            <w:pPr>
              <w:pStyle w:val="Default"/>
              <w:numPr>
                <w:ilvl w:val="1"/>
                <w:numId w:val="43"/>
              </w:numPr>
              <w:spacing w:after="120"/>
              <w:rPr>
                <w:rFonts w:asciiTheme="minorHAnsi" w:hAnsiTheme="minorHAnsi"/>
                <w:color w:val="auto"/>
                <w:sz w:val="18"/>
                <w:szCs w:val="20"/>
                <w:lang w:val="en-US"/>
              </w:rPr>
            </w:pPr>
            <w:r w:rsidRPr="00714FAB">
              <w:rPr>
                <w:rFonts w:asciiTheme="minorHAnsi" w:hAnsiTheme="minorHAnsi"/>
                <w:color w:val="auto"/>
                <w:sz w:val="18"/>
                <w:szCs w:val="20"/>
                <w:lang w:val="en-US"/>
              </w:rPr>
              <w:t xml:space="preserve">The Euronext Growth Advisor, its beneficial owners or persons with managerial responsibility cannot own in aggregate 10% or more of the Shares or voting rights in an Issuer that it is assisting. Oslo Børs shall be notified of any ownership interest and specific information shall be provided on this in the Application Form (for admission to trading) and in the Information Document. </w:t>
            </w:r>
          </w:p>
          <w:p w14:paraId="2D307848" w14:textId="77777777" w:rsidR="00710B63" w:rsidRPr="00714FAB" w:rsidRDefault="00710B63" w:rsidP="00710B63">
            <w:pPr>
              <w:pStyle w:val="Default"/>
              <w:numPr>
                <w:ilvl w:val="1"/>
                <w:numId w:val="43"/>
              </w:numPr>
              <w:spacing w:after="120"/>
              <w:rPr>
                <w:rFonts w:asciiTheme="minorHAnsi" w:hAnsiTheme="minorHAnsi"/>
                <w:color w:val="auto"/>
                <w:sz w:val="18"/>
                <w:szCs w:val="20"/>
                <w:lang w:val="en-US"/>
              </w:rPr>
            </w:pPr>
            <w:r w:rsidRPr="00714FAB">
              <w:rPr>
                <w:rFonts w:asciiTheme="minorHAnsi" w:hAnsiTheme="minorHAnsi"/>
                <w:color w:val="auto"/>
                <w:sz w:val="18"/>
                <w:szCs w:val="20"/>
                <w:lang w:val="en-US"/>
              </w:rPr>
              <w:t xml:space="preserve">Employees of the Euronext Growth Advisor who are to act as advisors to the Issuer in an admission process, shall not own Shares or voting rights in an Issuer that it is assisting. </w:t>
            </w:r>
          </w:p>
          <w:p w14:paraId="37833C39" w14:textId="77777777" w:rsidR="00710B63" w:rsidRPr="00714FAB" w:rsidRDefault="00710B63" w:rsidP="00710B63">
            <w:pPr>
              <w:pStyle w:val="Default"/>
              <w:numPr>
                <w:ilvl w:val="1"/>
                <w:numId w:val="43"/>
              </w:numPr>
              <w:spacing w:after="120"/>
              <w:rPr>
                <w:rFonts w:asciiTheme="minorHAnsi" w:hAnsiTheme="minorHAnsi"/>
                <w:color w:val="auto"/>
                <w:sz w:val="18"/>
                <w:szCs w:val="20"/>
                <w:lang w:val="en-US"/>
              </w:rPr>
            </w:pPr>
            <w:r w:rsidRPr="00714FAB">
              <w:rPr>
                <w:rFonts w:asciiTheme="minorHAnsi" w:hAnsiTheme="minorHAnsi"/>
                <w:color w:val="auto"/>
                <w:sz w:val="18"/>
                <w:szCs w:val="20"/>
                <w:lang w:val="en-US"/>
              </w:rPr>
              <w:t xml:space="preserve">No employee of the Euronext Growth Advisor is permitted to hold a senior position or a board position in the Issuer that the Euronext Growth Advisor is assisting in connection with admission to trading. </w:t>
            </w:r>
          </w:p>
          <w:p w14:paraId="40AA16EC" w14:textId="77777777" w:rsidR="00710B63" w:rsidRPr="00714FAB" w:rsidRDefault="00710B63" w:rsidP="00710B63">
            <w:pPr>
              <w:pStyle w:val="Default"/>
              <w:numPr>
                <w:ilvl w:val="1"/>
                <w:numId w:val="43"/>
              </w:numPr>
              <w:spacing w:after="120"/>
              <w:rPr>
                <w:rFonts w:asciiTheme="minorHAnsi" w:hAnsiTheme="minorHAnsi"/>
                <w:color w:val="auto"/>
                <w:sz w:val="18"/>
                <w:szCs w:val="20"/>
                <w:lang w:val="en-US"/>
              </w:rPr>
            </w:pPr>
            <w:r w:rsidRPr="00714FAB">
              <w:rPr>
                <w:rFonts w:asciiTheme="minorHAnsi" w:hAnsiTheme="minorHAnsi"/>
                <w:color w:val="auto"/>
                <w:sz w:val="18"/>
                <w:szCs w:val="20"/>
                <w:lang w:val="en-US"/>
              </w:rPr>
              <w:t xml:space="preserve">An owner that directly or indirectly owns 10% or more of a Euronext Growth Advisor cannot hold a senior position or a board position in the Issuer that the Euronext Growth Advisor is assisting in connection with admission to trading. </w:t>
            </w:r>
          </w:p>
          <w:p w14:paraId="583E28C2" w14:textId="77777777" w:rsidR="00710B63" w:rsidRPr="00714FAB" w:rsidRDefault="00710B63" w:rsidP="00710B63">
            <w:pPr>
              <w:pStyle w:val="Default"/>
              <w:numPr>
                <w:ilvl w:val="1"/>
                <w:numId w:val="43"/>
              </w:numPr>
              <w:spacing w:after="120"/>
              <w:rPr>
                <w:rFonts w:asciiTheme="minorHAnsi" w:hAnsiTheme="minorHAnsi"/>
                <w:color w:val="auto"/>
                <w:sz w:val="18"/>
                <w:szCs w:val="20"/>
                <w:lang w:val="en-US"/>
              </w:rPr>
            </w:pPr>
            <w:r w:rsidRPr="00714FAB">
              <w:rPr>
                <w:rFonts w:asciiTheme="minorHAnsi" w:hAnsiTheme="minorHAnsi"/>
                <w:color w:val="auto"/>
                <w:sz w:val="18"/>
                <w:szCs w:val="20"/>
                <w:lang w:val="en-US"/>
              </w:rPr>
              <w:t>In special circumstances Oslo Børs can grant exemptions from the independence requirements set out in items 1, 2, 3 and 4 where the relationship is of such a nature that it cannot be deemed to weaken the suitability of the Issuer for admission to trading. This applies, inter alia, in situations where a Euronext Growth Advisor is providing underwriting services in connection with capital increases. Any such exemptions from the independence requirement shall be reported in the Application Form (for admission to trading) and in the Information Document.</w:t>
            </w:r>
          </w:p>
        </w:tc>
      </w:tr>
    </w:tbl>
    <w:p w14:paraId="3ADE68FD" w14:textId="77777777" w:rsidR="00710B63" w:rsidRPr="00714FAB" w:rsidRDefault="00710B63" w:rsidP="00710B63">
      <w:pPr>
        <w:spacing w:after="120"/>
        <w:contextualSpacing/>
        <w:jc w:val="both"/>
        <w:rPr>
          <w:rFonts w:cs="Verdana"/>
          <w:sz w:val="20"/>
          <w:szCs w:val="20"/>
          <w:lang w:val="en-US"/>
        </w:rPr>
      </w:pPr>
    </w:p>
    <w:p w14:paraId="1EE6D119" w14:textId="45969A3B" w:rsidR="00710B63" w:rsidRDefault="00710B63" w:rsidP="00F903B5">
      <w:pPr>
        <w:spacing w:after="120"/>
        <w:ind w:left="705" w:hanging="705"/>
        <w:contextualSpacing/>
        <w:jc w:val="both"/>
        <w:rPr>
          <w:rFonts w:cs="Verdana"/>
          <w:sz w:val="20"/>
          <w:szCs w:val="20"/>
          <w:lang w:val="en-US"/>
        </w:rPr>
      </w:pPr>
      <w:r w:rsidRPr="00714FAB">
        <w:rPr>
          <w:rFonts w:cs="Verdana"/>
          <w:sz w:val="20"/>
          <w:szCs w:val="20"/>
          <w:lang w:val="en-US"/>
        </w:rPr>
        <w:t>•</w:t>
      </w:r>
      <w:r w:rsidRPr="00714FAB">
        <w:rPr>
          <w:rFonts w:cs="Verdana"/>
          <w:sz w:val="20"/>
          <w:szCs w:val="20"/>
          <w:lang w:val="en-US"/>
        </w:rPr>
        <w:tab/>
      </w:r>
      <w:r w:rsidR="00F903B5" w:rsidRPr="00F903B5">
        <w:rPr>
          <w:rFonts w:cs="Verdana"/>
          <w:sz w:val="20"/>
          <w:szCs w:val="20"/>
          <w:lang w:val="en-US"/>
        </w:rPr>
        <w:t>It is a requirement that the Euronext Growth Advisor, its employees and any other companies that are part of the same group as the Euronext Growth Advisor must be independent of the Issuer to which it provides assistance in connection with admission to trading on Euronext Growth Oslo. Please describe any circumstances that may create uncertainty with regard to such independence.</w:t>
      </w:r>
    </w:p>
    <w:p w14:paraId="3DA7951D" w14:textId="77777777" w:rsidR="00F903B5" w:rsidRPr="00714FAB" w:rsidRDefault="00F903B5" w:rsidP="00F903B5">
      <w:pPr>
        <w:spacing w:after="120"/>
        <w:ind w:left="705" w:hanging="705"/>
        <w:contextualSpacing/>
        <w:jc w:val="both"/>
        <w:rPr>
          <w:rFonts w:cs="Verdana"/>
          <w:sz w:val="20"/>
          <w:szCs w:val="20"/>
          <w:lang w:val="en-US"/>
        </w:rPr>
      </w:pPr>
    </w:p>
    <w:p w14:paraId="05D0B897" w14:textId="77777777" w:rsidR="004350E1" w:rsidRPr="004350E1" w:rsidRDefault="00710B63" w:rsidP="004350E1">
      <w:pPr>
        <w:spacing w:after="120"/>
        <w:ind w:left="705" w:hanging="705"/>
        <w:contextualSpacing/>
        <w:jc w:val="both"/>
        <w:rPr>
          <w:rFonts w:cs="Verdana"/>
          <w:sz w:val="20"/>
          <w:szCs w:val="20"/>
          <w:lang w:val="en-US"/>
        </w:rPr>
      </w:pPr>
      <w:bookmarkStart w:id="60" w:name="_Hlk106285074"/>
      <w:r w:rsidRPr="00714FAB">
        <w:rPr>
          <w:rFonts w:cs="Verdana"/>
          <w:sz w:val="20"/>
          <w:szCs w:val="20"/>
          <w:lang w:val="en-US"/>
        </w:rPr>
        <w:t>•</w:t>
      </w:r>
      <w:r w:rsidRPr="00714FAB">
        <w:rPr>
          <w:rFonts w:cs="Verdana"/>
          <w:sz w:val="20"/>
          <w:szCs w:val="20"/>
          <w:lang w:val="en-US"/>
        </w:rPr>
        <w:tab/>
      </w:r>
      <w:r w:rsidR="004350E1" w:rsidRPr="004350E1">
        <w:rPr>
          <w:rFonts w:cs="Verdana"/>
          <w:sz w:val="20"/>
          <w:szCs w:val="20"/>
          <w:lang w:val="en-US"/>
        </w:rPr>
        <w:t xml:space="preserve">The Euronext Growth Advisor, its beneficial owners or persons with managerial responsibility cannot own in aggregate 10% or more of the Shares or voting rights in an Issuer that it is assisting. </w:t>
      </w:r>
    </w:p>
    <w:p w14:paraId="2EA49839" w14:textId="58C1C379" w:rsidR="001854EE" w:rsidRDefault="004350E1" w:rsidP="004350E1">
      <w:pPr>
        <w:spacing w:after="120"/>
        <w:ind w:left="705"/>
        <w:contextualSpacing/>
        <w:jc w:val="both"/>
        <w:rPr>
          <w:rFonts w:cs="Verdana"/>
          <w:sz w:val="20"/>
          <w:szCs w:val="20"/>
          <w:lang w:val="en-US"/>
        </w:rPr>
      </w:pPr>
      <w:r w:rsidRPr="004350E1">
        <w:rPr>
          <w:rFonts w:cs="Verdana"/>
          <w:sz w:val="20"/>
          <w:szCs w:val="20"/>
          <w:lang w:val="en-US"/>
        </w:rPr>
        <w:t>For the avoidance of doubt, this applies to any beneficial owner, and not just beneficial owners that ultimately own or control more than 25% of the Issuer. Please provide information on any ownership interest in the Issuer.</w:t>
      </w:r>
    </w:p>
    <w:bookmarkEnd w:id="60"/>
    <w:p w14:paraId="1C74CF34" w14:textId="58F9AFDA" w:rsidR="004350E1" w:rsidRDefault="004350E1" w:rsidP="004350E1">
      <w:pPr>
        <w:spacing w:after="120"/>
        <w:ind w:left="705"/>
        <w:contextualSpacing/>
        <w:jc w:val="both"/>
        <w:rPr>
          <w:rFonts w:cs="Verdana"/>
          <w:sz w:val="20"/>
          <w:szCs w:val="20"/>
          <w:lang w:val="en-US"/>
        </w:rPr>
      </w:pPr>
    </w:p>
    <w:p w14:paraId="7DDC1988" w14:textId="6A2D1939" w:rsidR="004350E1" w:rsidRDefault="004350E1" w:rsidP="00522F3C">
      <w:pPr>
        <w:spacing w:after="120"/>
        <w:ind w:left="705" w:hanging="705"/>
        <w:contextualSpacing/>
        <w:jc w:val="both"/>
        <w:rPr>
          <w:rFonts w:cs="Verdana"/>
          <w:sz w:val="20"/>
          <w:szCs w:val="20"/>
          <w:lang w:val="en-US"/>
        </w:rPr>
      </w:pPr>
      <w:r w:rsidRPr="00714FAB">
        <w:rPr>
          <w:rFonts w:cs="Verdana"/>
          <w:sz w:val="20"/>
          <w:szCs w:val="20"/>
          <w:lang w:val="en-US"/>
        </w:rPr>
        <w:t>•</w:t>
      </w:r>
      <w:r w:rsidRPr="00714FAB">
        <w:rPr>
          <w:rFonts w:cs="Verdana"/>
          <w:sz w:val="20"/>
          <w:szCs w:val="20"/>
          <w:lang w:val="en-US"/>
        </w:rPr>
        <w:tab/>
      </w:r>
      <w:r w:rsidR="007608EF" w:rsidRPr="007608EF">
        <w:rPr>
          <w:rFonts w:cs="Verdana"/>
          <w:sz w:val="20"/>
          <w:szCs w:val="20"/>
          <w:lang w:val="en-US"/>
        </w:rPr>
        <w:t>To the extent that it is planned to apply for an exemption from the independence requirements set out in items 1, 2, 3 and 4 in Rule 5.2.2 (2) no. 5 above, such application for exemption must be sent to Oslo Børs in sufficient time prior to submitting the application for admission to trading on Euronext Growth Oslo / introductory report in the event that the application for exemption should be rejected. In this application for admission to trading on Euronext Growth Oslo, please provide information regarding such granted exemption, if any.</w:t>
      </w:r>
    </w:p>
    <w:p w14:paraId="5F2D8336" w14:textId="700F90D8" w:rsidR="009901BA" w:rsidRDefault="009901BA" w:rsidP="00522F3C">
      <w:pPr>
        <w:spacing w:after="120"/>
        <w:ind w:left="705" w:hanging="705"/>
        <w:contextualSpacing/>
        <w:jc w:val="both"/>
        <w:rPr>
          <w:rFonts w:cs="Verdana"/>
          <w:sz w:val="20"/>
          <w:szCs w:val="20"/>
          <w:lang w:val="en-US"/>
        </w:rPr>
      </w:pPr>
    </w:p>
    <w:p w14:paraId="73D118EE" w14:textId="1408E1A0" w:rsidR="00D21205" w:rsidRPr="000C2D24" w:rsidRDefault="00720DFA" w:rsidP="000C2D24">
      <w:pPr>
        <w:pStyle w:val="Heading2"/>
      </w:pPr>
      <w:r w:rsidRPr="00706E66">
        <w:t xml:space="preserve">EURONEXT GROWTH ADVISOR </w:t>
      </w:r>
      <w:r w:rsidR="004F260F" w:rsidRPr="00706E66">
        <w:t>–</w:t>
      </w:r>
      <w:r w:rsidRPr="00706E66">
        <w:t xml:space="preserve"> </w:t>
      </w:r>
      <w:r w:rsidR="00F01693">
        <w:t>MAIN TASKS AND RESPONSIBILITY</w:t>
      </w:r>
    </w:p>
    <w:tbl>
      <w:tblPr>
        <w:tblpPr w:leftFromText="141" w:rightFromText="141"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060"/>
      </w:tblGrid>
      <w:tr w:rsidR="009A0124" w:rsidRPr="00706E66" w14:paraId="0B52E77A" w14:textId="77777777" w:rsidTr="00F54AE6">
        <w:tc>
          <w:tcPr>
            <w:tcW w:w="9060" w:type="dxa"/>
            <w:shd w:val="clear" w:color="auto" w:fill="F2F2F2" w:themeFill="background1" w:themeFillShade="F2"/>
          </w:tcPr>
          <w:p w14:paraId="4CC8FE8C" w14:textId="3B7CFC45" w:rsidR="009A0124" w:rsidRPr="00714FAB" w:rsidRDefault="009A0124" w:rsidP="00F54AE6">
            <w:pPr>
              <w:spacing w:after="120"/>
              <w:rPr>
                <w:b/>
                <w:sz w:val="18"/>
                <w:szCs w:val="20"/>
                <w:lang w:val="en-US"/>
              </w:rPr>
            </w:pPr>
            <w:r w:rsidRPr="00714FAB">
              <w:rPr>
                <w:b/>
                <w:sz w:val="18"/>
                <w:szCs w:val="20"/>
                <w:lang w:val="en-US"/>
              </w:rPr>
              <w:t>RULE BOOK PART II SECTION 5.</w:t>
            </w:r>
            <w:r w:rsidR="00965551">
              <w:rPr>
                <w:b/>
                <w:sz w:val="18"/>
                <w:szCs w:val="20"/>
                <w:lang w:val="en-US"/>
              </w:rPr>
              <w:t>5</w:t>
            </w:r>
            <w:r w:rsidRPr="00714FAB">
              <w:rPr>
                <w:b/>
                <w:sz w:val="18"/>
                <w:szCs w:val="20"/>
                <w:lang w:val="en-US"/>
              </w:rPr>
              <w:t>.2</w:t>
            </w:r>
          </w:p>
          <w:p w14:paraId="1CF1343A" w14:textId="77777777" w:rsidR="0044328D" w:rsidRDefault="0044328D" w:rsidP="0044328D">
            <w:pPr>
              <w:pStyle w:val="Default"/>
              <w:spacing w:after="120"/>
              <w:ind w:left="360"/>
              <w:rPr>
                <w:rFonts w:asciiTheme="minorHAnsi" w:hAnsiTheme="minorHAnsi"/>
                <w:sz w:val="18"/>
                <w:szCs w:val="20"/>
                <w:lang w:val="en-US"/>
              </w:rPr>
            </w:pPr>
            <w:r w:rsidRPr="00706E66">
              <w:rPr>
                <w:rFonts w:asciiTheme="minorHAnsi" w:hAnsiTheme="minorHAnsi"/>
                <w:sz w:val="18"/>
                <w:szCs w:val="20"/>
                <w:lang w:val="en-US"/>
              </w:rPr>
              <w:t xml:space="preserve">(1) The Euronext Growth Advisor shall within its reasonable effort ensure that all relevant information and documentation is provided to Oslo Børs in order to enable Oslo Børs to make an independent assessment of the Information Document and decide whether the admission criteria, including the suitability of the Issuer and the Shares admitted to trading, are fulfilled. </w:t>
            </w:r>
          </w:p>
          <w:p w14:paraId="3C16DFE5" w14:textId="77777777" w:rsidR="0044328D" w:rsidRDefault="0044328D" w:rsidP="0044328D">
            <w:pPr>
              <w:pStyle w:val="Default"/>
              <w:spacing w:after="120"/>
              <w:ind w:left="360"/>
              <w:rPr>
                <w:rFonts w:asciiTheme="minorHAnsi" w:hAnsiTheme="minorHAnsi"/>
                <w:sz w:val="18"/>
                <w:szCs w:val="20"/>
                <w:lang w:val="en-US"/>
              </w:rPr>
            </w:pPr>
            <w:r w:rsidRPr="00706E66">
              <w:rPr>
                <w:rFonts w:asciiTheme="minorHAnsi" w:hAnsiTheme="minorHAnsi"/>
                <w:sz w:val="18"/>
                <w:szCs w:val="20"/>
                <w:lang w:val="en-US"/>
              </w:rPr>
              <w:t xml:space="preserve">(2) The Euronext Growth Advisor shall assist the Issuer until its admission to trading commence by carrying out preparatory work, advising and guiding the Issuer in the admission process and assist in the production of documentation for the admission, cf. Rule 2.1.1 and 2.3 (1). This includes ensuring within its reasonable 46 | Euronext Growth Oslo </w:t>
            </w:r>
            <w:proofErr w:type="spellStart"/>
            <w:r w:rsidRPr="00706E66">
              <w:rPr>
                <w:rFonts w:asciiTheme="minorHAnsi" w:hAnsiTheme="minorHAnsi"/>
                <w:sz w:val="18"/>
                <w:szCs w:val="20"/>
                <w:lang w:val="en-US"/>
              </w:rPr>
              <w:t>Regelbok</w:t>
            </w:r>
            <w:proofErr w:type="spellEnd"/>
            <w:r w:rsidRPr="00706E66">
              <w:rPr>
                <w:rFonts w:asciiTheme="minorHAnsi" w:hAnsiTheme="minorHAnsi"/>
                <w:sz w:val="18"/>
                <w:szCs w:val="20"/>
                <w:lang w:val="en-US"/>
              </w:rPr>
              <w:t xml:space="preserve"> - Del II effort that all relevant information about the Issuer and the Shares to be </w:t>
            </w:r>
            <w:r w:rsidRPr="00706E66">
              <w:rPr>
                <w:rFonts w:asciiTheme="minorHAnsi" w:hAnsiTheme="minorHAnsi"/>
                <w:sz w:val="18"/>
                <w:szCs w:val="20"/>
                <w:lang w:val="en-US"/>
              </w:rPr>
              <w:lastRenderedPageBreak/>
              <w:t xml:space="preserve">admitted to trading is included in the Information Document and that it covers the content requirements as set out in Notice 2.3. </w:t>
            </w:r>
          </w:p>
          <w:p w14:paraId="6EB768BB" w14:textId="77777777" w:rsidR="0044328D" w:rsidRDefault="0044328D" w:rsidP="0044328D">
            <w:pPr>
              <w:pStyle w:val="Default"/>
              <w:spacing w:after="120"/>
              <w:ind w:left="360"/>
              <w:rPr>
                <w:rFonts w:asciiTheme="minorHAnsi" w:hAnsiTheme="minorHAnsi"/>
                <w:sz w:val="18"/>
                <w:szCs w:val="20"/>
                <w:lang w:val="en-US"/>
              </w:rPr>
            </w:pPr>
            <w:r w:rsidRPr="00706E66">
              <w:rPr>
                <w:rFonts w:asciiTheme="minorHAnsi" w:hAnsiTheme="minorHAnsi"/>
                <w:sz w:val="18"/>
                <w:szCs w:val="20"/>
                <w:lang w:val="en-US"/>
              </w:rPr>
              <w:t xml:space="preserve">(3) The Euronext Growth Advisor shall within its reasonable effort ensure that sufficient financial and legal due diligence investigations are carried out in connection with the admission process, please refer to Notice 2.2. The Euronext Growth Advisor shall provide Oslo Børs with a description of which due diligence investigations that have been conducted, their assessment of the scope and of any findings of particular importance for the assessment of the Issuer's and the Shares suitability for admission to trading. The due diligence form is available on Oslo Børs' websites. </w:t>
            </w:r>
          </w:p>
          <w:p w14:paraId="5A7D131B" w14:textId="5498385F" w:rsidR="009A0124" w:rsidRPr="00706E66" w:rsidRDefault="0044328D" w:rsidP="00706E66">
            <w:pPr>
              <w:pStyle w:val="Default"/>
              <w:spacing w:after="120"/>
              <w:ind w:left="360"/>
              <w:rPr>
                <w:rFonts w:asciiTheme="minorHAnsi" w:hAnsiTheme="minorHAnsi"/>
                <w:sz w:val="18"/>
                <w:szCs w:val="20"/>
                <w:lang w:val="en-US"/>
              </w:rPr>
            </w:pPr>
            <w:r w:rsidRPr="00706E66">
              <w:rPr>
                <w:rFonts w:asciiTheme="minorHAnsi" w:hAnsiTheme="minorHAnsi"/>
                <w:sz w:val="18"/>
                <w:szCs w:val="20"/>
                <w:lang w:val="en-US"/>
              </w:rPr>
              <w:t>(4) The Euronext Growth Advisor shall assess whether all conditions for admission to trading are fulfilled and present the basis for this assessment and their conclusion to Oslo Børs.</w:t>
            </w:r>
          </w:p>
        </w:tc>
      </w:tr>
    </w:tbl>
    <w:p w14:paraId="6A500CF3" w14:textId="453160EF" w:rsidR="00D21205" w:rsidRDefault="00D21205" w:rsidP="00522F3C">
      <w:pPr>
        <w:spacing w:after="120"/>
        <w:ind w:left="705" w:hanging="705"/>
        <w:contextualSpacing/>
        <w:jc w:val="both"/>
        <w:rPr>
          <w:lang w:val="en-US" w:eastAsia="nb-NO"/>
        </w:rPr>
      </w:pPr>
    </w:p>
    <w:p w14:paraId="181A9E1C" w14:textId="5342784F" w:rsidR="00292E34" w:rsidRPr="00706E66" w:rsidRDefault="001C1F9F" w:rsidP="00706E66">
      <w:pPr>
        <w:pStyle w:val="ListParagraph"/>
        <w:numPr>
          <w:ilvl w:val="0"/>
          <w:numId w:val="26"/>
        </w:numPr>
        <w:jc w:val="both"/>
        <w:rPr>
          <w:sz w:val="20"/>
          <w:szCs w:val="20"/>
          <w:lang w:val="en-US"/>
        </w:rPr>
      </w:pPr>
      <w:r w:rsidRPr="00706E66">
        <w:rPr>
          <w:sz w:val="20"/>
          <w:szCs w:val="20"/>
          <w:lang w:val="en-US"/>
        </w:rPr>
        <w:t>Please provide</w:t>
      </w:r>
      <w:r w:rsidR="003F3291" w:rsidRPr="00706E66">
        <w:rPr>
          <w:sz w:val="20"/>
          <w:szCs w:val="20"/>
          <w:lang w:val="en-US"/>
        </w:rPr>
        <w:t xml:space="preserve"> details of the assessment and conclusion regarding the</w:t>
      </w:r>
      <w:r w:rsidR="0044356B" w:rsidRPr="00706E66">
        <w:rPr>
          <w:sz w:val="20"/>
          <w:szCs w:val="20"/>
          <w:lang w:val="en-US"/>
        </w:rPr>
        <w:t xml:space="preserve"> </w:t>
      </w:r>
      <w:r w:rsidR="00B71857" w:rsidRPr="00706E66">
        <w:rPr>
          <w:sz w:val="20"/>
          <w:szCs w:val="20"/>
          <w:lang w:val="en-US"/>
        </w:rPr>
        <w:t>Issuer</w:t>
      </w:r>
      <w:r w:rsidR="007F2020" w:rsidRPr="00706E66">
        <w:rPr>
          <w:sz w:val="20"/>
          <w:szCs w:val="20"/>
          <w:lang w:val="en-US"/>
        </w:rPr>
        <w:t>’</w:t>
      </w:r>
      <w:r w:rsidR="00B71857" w:rsidRPr="00706E66">
        <w:rPr>
          <w:sz w:val="20"/>
          <w:szCs w:val="20"/>
          <w:lang w:val="en-US"/>
        </w:rPr>
        <w:t>s</w:t>
      </w:r>
      <w:r w:rsidR="007F2020" w:rsidRPr="00706E66">
        <w:rPr>
          <w:sz w:val="20"/>
          <w:szCs w:val="20"/>
          <w:lang w:val="en-US"/>
        </w:rPr>
        <w:t xml:space="preserve"> </w:t>
      </w:r>
      <w:r w:rsidR="00CF268A" w:rsidRPr="00706E66">
        <w:rPr>
          <w:sz w:val="20"/>
          <w:szCs w:val="20"/>
          <w:lang w:val="en-US"/>
        </w:rPr>
        <w:t>compliance with the admission requirements</w:t>
      </w:r>
      <w:r w:rsidR="008E2D93" w:rsidRPr="00706E66">
        <w:rPr>
          <w:sz w:val="20"/>
          <w:szCs w:val="20"/>
          <w:lang w:val="en-US"/>
        </w:rPr>
        <w:t>, including</w:t>
      </w:r>
      <w:r w:rsidR="00D858C4" w:rsidRPr="00706E66">
        <w:rPr>
          <w:sz w:val="20"/>
          <w:szCs w:val="20"/>
          <w:lang w:val="en-US"/>
        </w:rPr>
        <w:t xml:space="preserve"> </w:t>
      </w:r>
      <w:r w:rsidR="00E96B9C" w:rsidRPr="00706E66">
        <w:rPr>
          <w:sz w:val="20"/>
          <w:szCs w:val="20"/>
          <w:lang w:val="en-US"/>
        </w:rPr>
        <w:t>the</w:t>
      </w:r>
      <w:r w:rsidR="00D858C4" w:rsidRPr="00706E66">
        <w:rPr>
          <w:sz w:val="20"/>
          <w:szCs w:val="20"/>
          <w:lang w:val="en-US"/>
        </w:rPr>
        <w:t xml:space="preserve"> </w:t>
      </w:r>
      <w:proofErr w:type="spellStart"/>
      <w:r w:rsidR="00D858C4" w:rsidRPr="00706E66">
        <w:rPr>
          <w:sz w:val="20"/>
          <w:szCs w:val="20"/>
          <w:lang w:val="en-US"/>
        </w:rPr>
        <w:t>evalution</w:t>
      </w:r>
      <w:proofErr w:type="spellEnd"/>
      <w:r w:rsidR="00D858C4" w:rsidRPr="00706E66">
        <w:rPr>
          <w:sz w:val="20"/>
          <w:szCs w:val="20"/>
          <w:lang w:val="en-US"/>
        </w:rPr>
        <w:t xml:space="preserve"> on whether the </w:t>
      </w:r>
      <w:r w:rsidR="00C31A0C" w:rsidRPr="00706E66">
        <w:rPr>
          <w:sz w:val="20"/>
          <w:szCs w:val="20"/>
          <w:lang w:val="en-US"/>
        </w:rPr>
        <w:t>S</w:t>
      </w:r>
      <w:r w:rsidR="00D858C4" w:rsidRPr="00706E66">
        <w:rPr>
          <w:sz w:val="20"/>
          <w:szCs w:val="20"/>
          <w:lang w:val="en-US"/>
        </w:rPr>
        <w:t>hares are suitable for trading,</w:t>
      </w:r>
      <w:r w:rsidR="008E2D93" w:rsidRPr="00706E66">
        <w:rPr>
          <w:sz w:val="20"/>
          <w:szCs w:val="20"/>
          <w:lang w:val="en-US"/>
        </w:rPr>
        <w:t xml:space="preserve"> </w:t>
      </w:r>
      <w:r w:rsidR="00CF268A" w:rsidRPr="00706E66">
        <w:rPr>
          <w:sz w:val="20"/>
          <w:szCs w:val="20"/>
          <w:lang w:val="en-US"/>
        </w:rPr>
        <w:t>in the Due Diligence Form</w:t>
      </w:r>
      <w:r w:rsidR="00706E66" w:rsidRPr="00706E66">
        <w:rPr>
          <w:sz w:val="20"/>
          <w:szCs w:val="20"/>
          <w:lang w:val="en-US"/>
        </w:rPr>
        <w:t xml:space="preserve"> that should be attached to the introductory report, cf. </w:t>
      </w:r>
      <w:r w:rsidR="00706E66" w:rsidRPr="00706E66">
        <w:rPr>
          <w:sz w:val="20"/>
          <w:szCs w:val="20"/>
          <w:lang w:val="en-US"/>
        </w:rPr>
        <w:t>Notice 2.2 section 2 (1)</w:t>
      </w:r>
      <w:r w:rsidR="00706E66">
        <w:rPr>
          <w:sz w:val="20"/>
          <w:szCs w:val="20"/>
          <w:lang w:val="en-US"/>
        </w:rPr>
        <w:t>.</w:t>
      </w:r>
    </w:p>
    <w:p w14:paraId="10FFF855" w14:textId="1A706E2A" w:rsidR="003439C2" w:rsidRDefault="00876273" w:rsidP="0002001C">
      <w:pPr>
        <w:pStyle w:val="Heading2"/>
      </w:pPr>
      <w:bookmarkStart w:id="61" w:name="_Toc50730107"/>
      <w:bookmarkStart w:id="62" w:name="_Hlk50642659"/>
      <w:r w:rsidRPr="00A76040">
        <w:t>Timetable and contact persons</w:t>
      </w:r>
      <w:bookmarkEnd w:id="61"/>
      <w:r w:rsidRPr="00A76040">
        <w:t xml:space="preserve"> </w:t>
      </w:r>
    </w:p>
    <w:p w14:paraId="3A8C3D3E" w14:textId="77777777" w:rsidR="00254D2D" w:rsidRPr="00117A98" w:rsidRDefault="00254D2D" w:rsidP="00E76051">
      <w:pPr>
        <w:pStyle w:val="test"/>
        <w:numPr>
          <w:ilvl w:val="0"/>
          <w:numId w:val="24"/>
        </w:numPr>
        <w:spacing w:after="120" w:line="240" w:lineRule="auto"/>
        <w:ind w:left="714" w:hanging="357"/>
        <w:jc w:val="both"/>
        <w:rPr>
          <w:rFonts w:asciiTheme="minorHAnsi" w:hAnsiTheme="minorHAnsi"/>
          <w:sz w:val="20"/>
          <w:lang w:val="en-GB"/>
        </w:rPr>
      </w:pPr>
      <w:r w:rsidRPr="00117A98">
        <w:rPr>
          <w:rFonts w:asciiTheme="minorHAnsi" w:hAnsiTheme="minorHAnsi"/>
          <w:sz w:val="20"/>
          <w:lang w:val="en-GB"/>
        </w:rPr>
        <w:t>Please identify the contact persons in relation to the admission to trading process (Issuer’s management and/or advisors).</w:t>
      </w:r>
    </w:p>
    <w:p w14:paraId="31164B7E" w14:textId="2EEA04A5" w:rsidR="00254D2D" w:rsidRPr="00117A98" w:rsidRDefault="00254D2D" w:rsidP="00E76051">
      <w:pPr>
        <w:pStyle w:val="test"/>
        <w:numPr>
          <w:ilvl w:val="0"/>
          <w:numId w:val="24"/>
        </w:numPr>
        <w:spacing w:after="120" w:line="240" w:lineRule="auto"/>
        <w:ind w:left="714" w:hanging="357"/>
        <w:jc w:val="both"/>
        <w:rPr>
          <w:rFonts w:asciiTheme="minorHAnsi" w:hAnsiTheme="minorHAnsi"/>
          <w:sz w:val="20"/>
          <w:lang w:val="en-GB"/>
        </w:rPr>
      </w:pPr>
      <w:r w:rsidRPr="00117A98">
        <w:rPr>
          <w:rFonts w:asciiTheme="minorHAnsi" w:hAnsiTheme="minorHAnsi"/>
          <w:sz w:val="20"/>
          <w:lang w:val="en-GB"/>
        </w:rPr>
        <w:t>Please state the planned timetable for the process of admission to trading, including the timeline for the preparation of the Information/Presentation Document</w:t>
      </w:r>
      <w:r w:rsidR="000644F8">
        <w:rPr>
          <w:rFonts w:asciiTheme="minorHAnsi" w:hAnsiTheme="minorHAnsi"/>
          <w:sz w:val="20"/>
          <w:lang w:val="en-GB"/>
        </w:rPr>
        <w:t xml:space="preserve"> </w:t>
      </w:r>
      <w:r w:rsidR="000644F8" w:rsidRPr="000644F8">
        <w:rPr>
          <w:rFonts w:asciiTheme="minorHAnsi" w:hAnsiTheme="minorHAnsi"/>
          <w:sz w:val="20"/>
          <w:lang w:val="en-GB"/>
        </w:rPr>
        <w:t xml:space="preserve">(cf. </w:t>
      </w:r>
      <w:r w:rsidR="000644F8" w:rsidRPr="0052201E">
        <w:rPr>
          <w:rFonts w:asciiTheme="minorHAnsi" w:hAnsiTheme="minorHAnsi"/>
          <w:sz w:val="20"/>
          <w:lang w:val="en-GB"/>
        </w:rPr>
        <w:t xml:space="preserve">Notice </w:t>
      </w:r>
      <w:r w:rsidR="00C73C26" w:rsidRPr="0052201E">
        <w:rPr>
          <w:rFonts w:asciiTheme="minorHAnsi" w:hAnsiTheme="minorHAnsi"/>
          <w:sz w:val="20"/>
          <w:lang w:val="en-GB"/>
        </w:rPr>
        <w:t>2</w:t>
      </w:r>
      <w:r w:rsidR="000644F8" w:rsidRPr="0052201E">
        <w:rPr>
          <w:rFonts w:asciiTheme="minorHAnsi" w:hAnsiTheme="minorHAnsi"/>
          <w:sz w:val="20"/>
          <w:lang w:val="en-GB"/>
        </w:rPr>
        <w:t>.</w:t>
      </w:r>
      <w:r w:rsidR="00C73C26" w:rsidRPr="0052201E">
        <w:rPr>
          <w:rFonts w:asciiTheme="minorHAnsi" w:hAnsiTheme="minorHAnsi"/>
          <w:sz w:val="20"/>
          <w:lang w:val="en-GB"/>
        </w:rPr>
        <w:t>2</w:t>
      </w:r>
      <w:r w:rsidR="000644F8" w:rsidRPr="0052201E">
        <w:rPr>
          <w:rFonts w:asciiTheme="minorHAnsi" w:hAnsiTheme="minorHAnsi"/>
          <w:sz w:val="20"/>
          <w:lang w:val="en-GB"/>
        </w:rPr>
        <w:t xml:space="preserve"> section 2 (2) item 26)</w:t>
      </w:r>
      <w:r w:rsidRPr="0052201E">
        <w:rPr>
          <w:rFonts w:asciiTheme="minorHAnsi" w:hAnsiTheme="minorHAnsi"/>
          <w:sz w:val="20"/>
          <w:lang w:val="en-GB"/>
        </w:rPr>
        <w:t>.</w:t>
      </w:r>
      <w:r w:rsidRPr="00117A98">
        <w:rPr>
          <w:rFonts w:asciiTheme="minorHAnsi" w:hAnsiTheme="minorHAnsi"/>
          <w:sz w:val="20"/>
          <w:lang w:val="en-GB"/>
        </w:rPr>
        <w:t xml:space="preserve"> If only preliminary dates can be provided, state this.</w:t>
      </w:r>
    </w:p>
    <w:p w14:paraId="6A041AFD" w14:textId="3DA2F562" w:rsidR="00254D2D" w:rsidRPr="00117A98" w:rsidRDefault="00254D2D" w:rsidP="00E76051">
      <w:pPr>
        <w:pStyle w:val="test"/>
        <w:numPr>
          <w:ilvl w:val="0"/>
          <w:numId w:val="24"/>
        </w:numPr>
        <w:spacing w:after="120" w:line="240" w:lineRule="auto"/>
        <w:ind w:left="714" w:hanging="357"/>
        <w:jc w:val="both"/>
        <w:rPr>
          <w:rFonts w:asciiTheme="minorHAnsi" w:hAnsiTheme="minorHAnsi"/>
          <w:sz w:val="20"/>
          <w:lang w:val="en-GB"/>
        </w:rPr>
      </w:pPr>
      <w:r w:rsidRPr="00117A98">
        <w:rPr>
          <w:rFonts w:asciiTheme="minorHAnsi" w:hAnsiTheme="minorHAnsi"/>
          <w:sz w:val="20"/>
          <w:lang w:val="en-GB"/>
        </w:rPr>
        <w:t>Please identify the Issuer’s co</w:t>
      </w:r>
      <w:r w:rsidRPr="0052201E">
        <w:rPr>
          <w:rFonts w:asciiTheme="minorHAnsi" w:hAnsiTheme="minorHAnsi"/>
          <w:sz w:val="20"/>
          <w:lang w:val="en-GB"/>
        </w:rPr>
        <w:t xml:space="preserve">ntact persons vis-à-vis Oslo Børs, cf. Rule Book Part II section </w:t>
      </w:r>
      <w:r w:rsidR="00C73C26" w:rsidRPr="0052201E">
        <w:rPr>
          <w:rFonts w:asciiTheme="minorHAnsi" w:hAnsiTheme="minorHAnsi"/>
          <w:sz w:val="20"/>
          <w:lang w:val="en-GB"/>
        </w:rPr>
        <w:t>3</w:t>
      </w:r>
      <w:r w:rsidRPr="0052201E">
        <w:rPr>
          <w:rFonts w:asciiTheme="minorHAnsi" w:hAnsiTheme="minorHAnsi"/>
          <w:sz w:val="20"/>
          <w:lang w:val="en-GB"/>
        </w:rPr>
        <w:t xml:space="preserve">.3 (cf. </w:t>
      </w:r>
      <w:r w:rsidRPr="0052201E">
        <w:rPr>
          <w:rFonts w:asciiTheme="minorHAnsi" w:hAnsiTheme="minorHAnsi" w:cstheme="minorHAnsi"/>
          <w:sz w:val="20"/>
          <w:lang w:val="en-GB"/>
        </w:rPr>
        <w:t xml:space="preserve">Notice </w:t>
      </w:r>
      <w:r w:rsidR="00C73C26" w:rsidRPr="0052201E">
        <w:rPr>
          <w:rFonts w:asciiTheme="minorHAnsi" w:hAnsiTheme="minorHAnsi" w:cstheme="minorHAnsi"/>
          <w:sz w:val="20"/>
          <w:lang w:val="en-GB"/>
        </w:rPr>
        <w:t>2</w:t>
      </w:r>
      <w:r w:rsidRPr="0052201E">
        <w:rPr>
          <w:rFonts w:asciiTheme="minorHAnsi" w:hAnsiTheme="minorHAnsi" w:cstheme="minorHAnsi"/>
          <w:sz w:val="20"/>
          <w:lang w:val="en-GB"/>
        </w:rPr>
        <w:t>.</w:t>
      </w:r>
      <w:r w:rsidR="00C73C26" w:rsidRPr="0052201E">
        <w:rPr>
          <w:rFonts w:asciiTheme="minorHAnsi" w:hAnsiTheme="minorHAnsi" w:cstheme="minorHAnsi"/>
          <w:sz w:val="20"/>
          <w:lang w:val="en-GB"/>
        </w:rPr>
        <w:t>2</w:t>
      </w:r>
      <w:r w:rsidRPr="0052201E">
        <w:rPr>
          <w:rFonts w:asciiTheme="minorHAnsi" w:hAnsiTheme="minorHAnsi" w:cstheme="minorHAnsi"/>
          <w:sz w:val="20"/>
          <w:lang w:val="en-GB"/>
        </w:rPr>
        <w:t xml:space="preserve"> section 2 (2) item 25</w:t>
      </w:r>
      <w:r w:rsidRPr="0052201E">
        <w:rPr>
          <w:rFonts w:asciiTheme="minorHAnsi" w:hAnsiTheme="minorHAnsi"/>
          <w:sz w:val="20"/>
          <w:lang w:val="en-GB"/>
        </w:rPr>
        <w:t>).</w:t>
      </w:r>
    </w:p>
    <w:p w14:paraId="1A4FD66C" w14:textId="77777777" w:rsidR="0090231C" w:rsidRPr="00A76040" w:rsidRDefault="00876273" w:rsidP="0002001C">
      <w:pPr>
        <w:pStyle w:val="Heading2"/>
      </w:pPr>
      <w:bookmarkStart w:id="63" w:name="_Toc50730108"/>
      <w:bookmarkEnd w:id="62"/>
      <w:r w:rsidRPr="00A76040">
        <w:t>Attachments</w:t>
      </w:r>
      <w:bookmarkEnd w:id="63"/>
    </w:p>
    <w:p w14:paraId="36A23E7C" w14:textId="77777777" w:rsidR="00254D2D" w:rsidRPr="00117A98" w:rsidRDefault="00254D2D" w:rsidP="00E76051">
      <w:pPr>
        <w:pStyle w:val="test"/>
        <w:numPr>
          <w:ilvl w:val="0"/>
          <w:numId w:val="24"/>
        </w:numPr>
        <w:spacing w:after="120" w:line="240" w:lineRule="auto"/>
        <w:ind w:left="714" w:hanging="357"/>
        <w:jc w:val="both"/>
        <w:rPr>
          <w:rFonts w:asciiTheme="minorHAnsi" w:hAnsiTheme="minorHAnsi"/>
          <w:sz w:val="20"/>
          <w:lang w:val="en-GB"/>
        </w:rPr>
      </w:pPr>
      <w:r w:rsidRPr="00117A98">
        <w:rPr>
          <w:rFonts w:asciiTheme="minorHAnsi" w:hAnsiTheme="minorHAnsi"/>
          <w:sz w:val="20"/>
          <w:lang w:val="en-GB"/>
        </w:rPr>
        <w:t>Please see sections 2 and 3 for relevant attachments, comment briefly that the relevant documentation has been attached.</w:t>
      </w:r>
    </w:p>
    <w:p w14:paraId="477C7920" w14:textId="77777777" w:rsidR="0090231C" w:rsidRPr="00A76040" w:rsidRDefault="002A4EAA" w:rsidP="0002001C">
      <w:pPr>
        <w:pStyle w:val="Heading2"/>
      </w:pPr>
      <w:bookmarkStart w:id="64" w:name="_Toc50730109"/>
      <w:r w:rsidRPr="00A76040">
        <w:t>Signatur</w:t>
      </w:r>
      <w:r w:rsidR="00876273" w:rsidRPr="00A76040">
        <w:t>e</w:t>
      </w:r>
      <w:r w:rsidR="00B7167B">
        <w:t>s</w:t>
      </w:r>
      <w:bookmarkEnd w:id="64"/>
    </w:p>
    <w:p w14:paraId="3D54F6AA" w14:textId="77777777" w:rsidR="00254D2D" w:rsidRPr="00A76040" w:rsidRDefault="00254D2D" w:rsidP="00E76051">
      <w:pPr>
        <w:jc w:val="both"/>
        <w:rPr>
          <w:sz w:val="20"/>
          <w:lang w:val="en-GB"/>
        </w:rPr>
      </w:pPr>
      <w:bookmarkStart w:id="65" w:name="_Toc314484331"/>
      <w:bookmarkStart w:id="66" w:name="_Toc314486078"/>
      <w:bookmarkStart w:id="67" w:name="_Toc410720288"/>
      <w:r w:rsidRPr="00A76040">
        <w:rPr>
          <w:sz w:val="20"/>
          <w:lang w:val="en-GB"/>
        </w:rPr>
        <w:t xml:space="preserve">A resolution to apply for admission to trading </w:t>
      </w:r>
      <w:r>
        <w:rPr>
          <w:sz w:val="20"/>
          <w:lang w:val="en-GB"/>
        </w:rPr>
        <w:t>must</w:t>
      </w:r>
      <w:r w:rsidRPr="00A76040">
        <w:rPr>
          <w:sz w:val="20"/>
          <w:lang w:val="en-GB"/>
        </w:rPr>
        <w:t xml:space="preserve"> have been passed by the </w:t>
      </w:r>
      <w:r>
        <w:rPr>
          <w:sz w:val="20"/>
          <w:lang w:val="en-GB"/>
        </w:rPr>
        <w:t xml:space="preserve">Issuer’s </w:t>
      </w:r>
      <w:r w:rsidRPr="00A76040">
        <w:rPr>
          <w:sz w:val="20"/>
          <w:lang w:val="en-GB"/>
        </w:rPr>
        <w:t>board of directors, and the application must be signed by the board</w:t>
      </w:r>
      <w:r>
        <w:rPr>
          <w:sz w:val="20"/>
          <w:lang w:val="en-GB"/>
        </w:rPr>
        <w:t xml:space="preserve"> of directors</w:t>
      </w:r>
      <w:r w:rsidRPr="00A76040">
        <w:rPr>
          <w:sz w:val="20"/>
          <w:lang w:val="en-GB"/>
        </w:rPr>
        <w:t xml:space="preserve"> or by a party duly authorised by the board of directors. By submitting </w:t>
      </w:r>
      <w:r>
        <w:rPr>
          <w:sz w:val="20"/>
          <w:lang w:val="en-GB"/>
        </w:rPr>
        <w:t>this</w:t>
      </w:r>
      <w:r w:rsidRPr="00A76040">
        <w:rPr>
          <w:sz w:val="20"/>
          <w:lang w:val="en-GB"/>
        </w:rPr>
        <w:t xml:space="preserve"> application</w:t>
      </w:r>
      <w:r>
        <w:rPr>
          <w:sz w:val="20"/>
          <w:lang w:val="en-GB"/>
        </w:rPr>
        <w:t>,</w:t>
      </w:r>
      <w:r w:rsidRPr="00A76040">
        <w:rPr>
          <w:sz w:val="20"/>
          <w:lang w:val="en-GB"/>
        </w:rPr>
        <w:t xml:space="preserve"> the </w:t>
      </w:r>
      <w:r>
        <w:rPr>
          <w:sz w:val="20"/>
          <w:lang w:val="en-GB"/>
        </w:rPr>
        <w:t>Issuer</w:t>
      </w:r>
      <w:r w:rsidRPr="00A76040">
        <w:rPr>
          <w:sz w:val="20"/>
          <w:lang w:val="en-GB"/>
        </w:rPr>
        <w:t xml:space="preserve"> confirms that it undertakes to comply with the rules for </w:t>
      </w:r>
      <w:r>
        <w:rPr>
          <w:sz w:val="20"/>
          <w:lang w:val="en-GB"/>
        </w:rPr>
        <w:t>Euronext Growth Oslo</w:t>
      </w:r>
      <w:r w:rsidRPr="00A76040">
        <w:rPr>
          <w:sz w:val="20"/>
          <w:lang w:val="en-GB"/>
        </w:rPr>
        <w:t>.</w:t>
      </w:r>
    </w:p>
    <w:p w14:paraId="7F87BF4E" w14:textId="77777777" w:rsidR="00254D2D" w:rsidRPr="00A76040" w:rsidRDefault="00254D2D" w:rsidP="00E76051">
      <w:pPr>
        <w:pStyle w:val="test"/>
        <w:jc w:val="both"/>
        <w:rPr>
          <w:rFonts w:asciiTheme="minorHAnsi" w:hAnsiTheme="minorHAnsi" w:cs="Arial"/>
          <w:sz w:val="20"/>
          <w:lang w:val="en-GB"/>
        </w:rPr>
      </w:pPr>
    </w:p>
    <w:p w14:paraId="15C31497" w14:textId="77777777" w:rsidR="00254D2D" w:rsidRPr="00A76040" w:rsidRDefault="00254D2D" w:rsidP="00E76051">
      <w:pPr>
        <w:pStyle w:val="test"/>
        <w:jc w:val="both"/>
        <w:rPr>
          <w:rFonts w:asciiTheme="minorHAnsi" w:hAnsiTheme="minorHAnsi" w:cs="Arial"/>
          <w:sz w:val="20"/>
          <w:lang w:val="en-GB"/>
        </w:rPr>
      </w:pPr>
      <w:r w:rsidRPr="00A76040">
        <w:rPr>
          <w:rFonts w:asciiTheme="minorHAnsi" w:hAnsiTheme="minorHAnsi" w:cs="Arial"/>
          <w:sz w:val="20"/>
          <w:lang w:val="en-GB"/>
        </w:rPr>
        <w:t>Signature</w:t>
      </w:r>
      <w:r>
        <w:rPr>
          <w:rFonts w:asciiTheme="minorHAnsi" w:hAnsiTheme="minorHAnsi" w:cs="Arial"/>
          <w:sz w:val="20"/>
          <w:lang w:val="en-GB"/>
        </w:rPr>
        <w:t xml:space="preserve"> and date (the Issuer)</w:t>
      </w:r>
      <w:r w:rsidRPr="00A76040">
        <w:rPr>
          <w:rFonts w:asciiTheme="minorHAnsi" w:hAnsiTheme="minorHAnsi" w:cs="Arial"/>
          <w:sz w:val="20"/>
          <w:lang w:val="en-GB"/>
        </w:rPr>
        <w:t xml:space="preserve">: </w:t>
      </w:r>
      <w:r w:rsidRPr="00A76040">
        <w:rPr>
          <w:rFonts w:asciiTheme="minorHAnsi" w:hAnsiTheme="minorHAnsi" w:cs="Arial"/>
          <w:sz w:val="20"/>
          <w:lang w:val="en-GB"/>
        </w:rPr>
        <w:tab/>
        <w:t>____________________________________________________</w:t>
      </w:r>
    </w:p>
    <w:p w14:paraId="77F9A511" w14:textId="77777777" w:rsidR="00254D2D" w:rsidRPr="002221D5" w:rsidRDefault="00254D2D" w:rsidP="00E76051">
      <w:pPr>
        <w:pStyle w:val="test"/>
        <w:jc w:val="both"/>
        <w:rPr>
          <w:rFonts w:asciiTheme="minorHAnsi" w:hAnsiTheme="minorHAnsi" w:cs="Arial"/>
          <w:sz w:val="20"/>
          <w:lang w:val="en-GB"/>
        </w:rPr>
      </w:pPr>
      <w:r w:rsidRPr="002221D5">
        <w:rPr>
          <w:rFonts w:asciiTheme="minorHAnsi" w:hAnsiTheme="minorHAnsi" w:cs="Arial"/>
          <w:sz w:val="20"/>
          <w:lang w:val="en-GB"/>
        </w:rPr>
        <w:t>(Name in block capitals)</w:t>
      </w:r>
    </w:p>
    <w:p w14:paraId="3F3E7091" w14:textId="77777777" w:rsidR="00254D2D" w:rsidRDefault="00254D2D" w:rsidP="00E76051">
      <w:pPr>
        <w:jc w:val="both"/>
        <w:rPr>
          <w:sz w:val="20"/>
          <w:lang w:val="en-GB"/>
        </w:rPr>
      </w:pPr>
      <w:r w:rsidRPr="00290AD0">
        <w:rPr>
          <w:sz w:val="20"/>
          <w:lang w:val="en-GB"/>
        </w:rPr>
        <w:t xml:space="preserve">The </w:t>
      </w:r>
      <w:r>
        <w:rPr>
          <w:sz w:val="20"/>
          <w:lang w:val="en-GB"/>
        </w:rPr>
        <w:t>Issuer’s</w:t>
      </w:r>
      <w:r w:rsidRPr="00290AD0">
        <w:rPr>
          <w:sz w:val="20"/>
          <w:lang w:val="en-GB"/>
        </w:rPr>
        <w:t xml:space="preserve"> </w:t>
      </w:r>
      <w:r>
        <w:rPr>
          <w:sz w:val="20"/>
          <w:lang w:val="en-GB"/>
        </w:rPr>
        <w:t>Euronext Growth</w:t>
      </w:r>
      <w:r w:rsidRPr="00290AD0">
        <w:rPr>
          <w:sz w:val="20"/>
          <w:lang w:val="en-GB"/>
        </w:rPr>
        <w:t xml:space="preserve"> Advisor confirms that, to the best of its abilities and judgement, and on the basis of a sufficient review of the </w:t>
      </w:r>
      <w:r>
        <w:rPr>
          <w:sz w:val="20"/>
          <w:lang w:val="en-GB"/>
        </w:rPr>
        <w:t>Issuer</w:t>
      </w:r>
      <w:r w:rsidRPr="00290AD0">
        <w:rPr>
          <w:sz w:val="20"/>
          <w:lang w:val="en-GB"/>
        </w:rPr>
        <w:t xml:space="preserve">, all the conditions for admission to trading have been assessed and the </w:t>
      </w:r>
      <w:r>
        <w:rPr>
          <w:sz w:val="20"/>
          <w:lang w:val="en-GB"/>
        </w:rPr>
        <w:t>Issuer</w:t>
      </w:r>
      <w:r w:rsidRPr="00290AD0">
        <w:rPr>
          <w:sz w:val="20"/>
          <w:lang w:val="en-GB"/>
        </w:rPr>
        <w:t xml:space="preserve"> satisfies them all, subject to the applications for exemptions contained in this application. The </w:t>
      </w:r>
      <w:r>
        <w:rPr>
          <w:sz w:val="20"/>
          <w:lang w:val="en-GB"/>
        </w:rPr>
        <w:t>Euronext Growth</w:t>
      </w:r>
      <w:r w:rsidRPr="00290AD0">
        <w:rPr>
          <w:sz w:val="20"/>
          <w:lang w:val="en-GB"/>
        </w:rPr>
        <w:t xml:space="preserve"> Advisor therefore also confirms that for these reasons it assesses the </w:t>
      </w:r>
      <w:r>
        <w:rPr>
          <w:sz w:val="20"/>
          <w:lang w:val="en-GB"/>
        </w:rPr>
        <w:t>Issuer</w:t>
      </w:r>
      <w:r w:rsidRPr="00290AD0">
        <w:rPr>
          <w:sz w:val="20"/>
          <w:lang w:val="en-GB"/>
        </w:rPr>
        <w:t xml:space="preserve"> and its </w:t>
      </w:r>
      <w:r>
        <w:rPr>
          <w:sz w:val="20"/>
          <w:lang w:val="en-GB"/>
        </w:rPr>
        <w:t>S</w:t>
      </w:r>
      <w:r w:rsidRPr="00290AD0">
        <w:rPr>
          <w:sz w:val="20"/>
          <w:lang w:val="en-GB"/>
        </w:rPr>
        <w:t xml:space="preserve">hares to be suitable for admission to trading on </w:t>
      </w:r>
      <w:r>
        <w:rPr>
          <w:sz w:val="20"/>
          <w:lang w:val="en-GB"/>
        </w:rPr>
        <w:t>Euronext Growth Oslo</w:t>
      </w:r>
      <w:r w:rsidRPr="00290AD0">
        <w:rPr>
          <w:sz w:val="20"/>
          <w:lang w:val="en-GB"/>
        </w:rPr>
        <w:t>.</w:t>
      </w:r>
    </w:p>
    <w:p w14:paraId="59713A06" w14:textId="77777777" w:rsidR="00254D2D" w:rsidRDefault="00254D2D" w:rsidP="00E76051">
      <w:pPr>
        <w:jc w:val="both"/>
        <w:rPr>
          <w:sz w:val="20"/>
          <w:lang w:val="en-GB"/>
        </w:rPr>
      </w:pPr>
    </w:p>
    <w:p w14:paraId="67CBDFBA" w14:textId="77777777" w:rsidR="00254D2D" w:rsidRPr="00B7167B" w:rsidRDefault="00254D2D" w:rsidP="00E76051">
      <w:pPr>
        <w:jc w:val="both"/>
        <w:rPr>
          <w:sz w:val="20"/>
          <w:lang w:val="en-GB"/>
        </w:rPr>
      </w:pPr>
    </w:p>
    <w:p w14:paraId="1352E3D3" w14:textId="77777777" w:rsidR="00254D2D" w:rsidRPr="00A76040" w:rsidRDefault="00254D2D" w:rsidP="00E76051">
      <w:pPr>
        <w:pStyle w:val="test"/>
        <w:jc w:val="both"/>
        <w:rPr>
          <w:rFonts w:asciiTheme="minorHAnsi" w:hAnsiTheme="minorHAnsi" w:cs="Arial"/>
          <w:sz w:val="20"/>
          <w:lang w:val="en-GB"/>
        </w:rPr>
      </w:pPr>
      <w:r w:rsidRPr="00A76040">
        <w:rPr>
          <w:rFonts w:asciiTheme="minorHAnsi" w:hAnsiTheme="minorHAnsi" w:cs="Arial"/>
          <w:sz w:val="20"/>
          <w:lang w:val="en-GB"/>
        </w:rPr>
        <w:t>Signature</w:t>
      </w:r>
      <w:r>
        <w:rPr>
          <w:rFonts w:asciiTheme="minorHAnsi" w:hAnsiTheme="minorHAnsi" w:cs="Arial"/>
          <w:sz w:val="20"/>
          <w:lang w:val="en-GB"/>
        </w:rPr>
        <w:t xml:space="preserve"> and date (the Euronext Growth Advisor)</w:t>
      </w:r>
      <w:r w:rsidRPr="00A76040">
        <w:rPr>
          <w:rFonts w:asciiTheme="minorHAnsi" w:hAnsiTheme="minorHAnsi" w:cs="Arial"/>
          <w:sz w:val="20"/>
          <w:lang w:val="en-GB"/>
        </w:rPr>
        <w:t>:</w:t>
      </w:r>
      <w:r>
        <w:rPr>
          <w:rFonts w:asciiTheme="minorHAnsi" w:hAnsiTheme="minorHAnsi" w:cs="Arial"/>
          <w:sz w:val="20"/>
          <w:lang w:val="en-GB"/>
        </w:rPr>
        <w:t xml:space="preserve"> </w:t>
      </w:r>
      <w:r w:rsidRPr="00A76040">
        <w:rPr>
          <w:rFonts w:asciiTheme="minorHAnsi" w:hAnsiTheme="minorHAnsi" w:cs="Arial"/>
          <w:sz w:val="20"/>
          <w:lang w:val="en-GB"/>
        </w:rPr>
        <w:t>___________________________________________</w:t>
      </w:r>
    </w:p>
    <w:p w14:paraId="02472674" w14:textId="6DFAD5CA" w:rsidR="00C72EF4" w:rsidRPr="00C72EF4" w:rsidRDefault="00254D2D" w:rsidP="008E5C1D">
      <w:pPr>
        <w:pStyle w:val="test"/>
        <w:jc w:val="both"/>
        <w:rPr>
          <w:rFonts w:asciiTheme="minorHAnsi" w:hAnsiTheme="minorHAnsi" w:cs="Arial"/>
          <w:sz w:val="20"/>
          <w:lang w:val="en-GB"/>
        </w:rPr>
      </w:pPr>
      <w:r w:rsidRPr="002221D5">
        <w:rPr>
          <w:rFonts w:asciiTheme="minorHAnsi" w:hAnsiTheme="minorHAnsi" w:cs="Arial"/>
          <w:sz w:val="20"/>
          <w:lang w:val="en-GB"/>
        </w:rPr>
        <w:t>(Name in block capitals)</w:t>
      </w:r>
      <w:r w:rsidR="00C72EF4">
        <w:rPr>
          <w:rFonts w:asciiTheme="minorHAnsi" w:hAnsiTheme="minorHAnsi"/>
          <w:sz w:val="28"/>
          <w:szCs w:val="28"/>
          <w:lang w:val="en-GB"/>
        </w:rPr>
        <w:br w:type="page"/>
      </w:r>
    </w:p>
    <w:p w14:paraId="7E9AF393" w14:textId="78B45E89" w:rsidR="0090231C" w:rsidRPr="00A76040" w:rsidRDefault="00A432C1" w:rsidP="00254D2D">
      <w:pPr>
        <w:pStyle w:val="Heading1"/>
      </w:pPr>
      <w:bookmarkStart w:id="68" w:name="_Toc50730110"/>
      <w:r>
        <w:lastRenderedPageBreak/>
        <w:t>CHECKLIST FOR FULFILLMENT OF THE CONDITIONS FOR ADMISSION TO TRADING</w:t>
      </w:r>
      <w:bookmarkEnd w:id="65"/>
      <w:bookmarkEnd w:id="66"/>
      <w:bookmarkEnd w:id="67"/>
      <w:bookmarkEnd w:id="68"/>
    </w:p>
    <w:p w14:paraId="197F3A87" w14:textId="77777777" w:rsidR="00294D89" w:rsidRPr="00A76040" w:rsidRDefault="00294D89" w:rsidP="004E1FE0">
      <w:pPr>
        <w:rPr>
          <w:lang w:val="en-GB"/>
        </w:rPr>
      </w:pPr>
    </w:p>
    <w:tbl>
      <w:tblPr>
        <w:tblpPr w:leftFromText="141" w:rightFromText="141" w:vertAnchor="text" w:horzAnchor="margin" w:tblpXSpec="center" w:tblpY="-69"/>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1961"/>
        <w:gridCol w:w="994"/>
        <w:gridCol w:w="1021"/>
        <w:gridCol w:w="1142"/>
        <w:gridCol w:w="2231"/>
      </w:tblGrid>
      <w:tr w:rsidR="00254D2D" w:rsidRPr="00706E66" w14:paraId="73A8EB98" w14:textId="77777777" w:rsidTr="00355749">
        <w:trPr>
          <w:trHeight w:val="278"/>
        </w:trPr>
        <w:tc>
          <w:tcPr>
            <w:tcW w:w="5000" w:type="pct"/>
            <w:gridSpan w:val="6"/>
            <w:tcBorders>
              <w:bottom w:val="single" w:sz="4" w:space="0" w:color="auto"/>
            </w:tcBorders>
          </w:tcPr>
          <w:p w14:paraId="4D8B4A29" w14:textId="77777777" w:rsidR="00254D2D" w:rsidRPr="00C22920" w:rsidRDefault="00254D2D" w:rsidP="00355749">
            <w:pPr>
              <w:jc w:val="center"/>
              <w:rPr>
                <w:b/>
                <w:lang w:val="en-GB"/>
              </w:rPr>
            </w:pPr>
            <w:bookmarkStart w:id="69" w:name="_Hlk53762708"/>
            <w:bookmarkStart w:id="70" w:name="_Toc314484332"/>
            <w:bookmarkStart w:id="71" w:name="_Toc314486079"/>
            <w:r>
              <w:rPr>
                <w:b/>
                <w:lang w:val="en-GB"/>
              </w:rPr>
              <w:t xml:space="preserve">Checklist for </w:t>
            </w:r>
            <w:proofErr w:type="spellStart"/>
            <w:r>
              <w:rPr>
                <w:b/>
                <w:lang w:val="en-GB"/>
              </w:rPr>
              <w:t>fulfillment</w:t>
            </w:r>
            <w:proofErr w:type="spellEnd"/>
            <w:r>
              <w:rPr>
                <w:b/>
                <w:lang w:val="en-GB"/>
              </w:rPr>
              <w:t xml:space="preserve"> of the conditions for admission to trading</w:t>
            </w:r>
            <w:r w:rsidRPr="00C22920">
              <w:rPr>
                <w:rStyle w:val="FootnoteReference"/>
                <w:b/>
                <w:lang w:val="en-GB"/>
              </w:rPr>
              <w:footnoteReference w:id="1"/>
            </w:r>
          </w:p>
        </w:tc>
      </w:tr>
      <w:tr w:rsidR="00254D2D" w:rsidRPr="00706E66" w14:paraId="7CFA483D" w14:textId="77777777" w:rsidTr="00355749">
        <w:trPr>
          <w:trHeight w:val="379"/>
        </w:trPr>
        <w:tc>
          <w:tcPr>
            <w:tcW w:w="1242" w:type="pct"/>
            <w:vMerge w:val="restart"/>
            <w:tcBorders>
              <w:top w:val="single" w:sz="4" w:space="0" w:color="auto"/>
            </w:tcBorders>
            <w:shd w:val="clear" w:color="auto" w:fill="A6A6A6"/>
          </w:tcPr>
          <w:p w14:paraId="32632B38" w14:textId="77777777" w:rsidR="00254D2D" w:rsidRPr="00C22920" w:rsidRDefault="00254D2D" w:rsidP="00355749">
            <w:pPr>
              <w:rPr>
                <w:b/>
                <w:lang w:val="en-GB"/>
              </w:rPr>
            </w:pPr>
            <w:r w:rsidRPr="00C22920">
              <w:rPr>
                <w:b/>
                <w:lang w:val="en-GB"/>
              </w:rPr>
              <w:t xml:space="preserve">Admission to trading criteria – </w:t>
            </w:r>
          </w:p>
          <w:p w14:paraId="217DC6B5" w14:textId="77777777" w:rsidR="00254D2D" w:rsidRPr="00C22920" w:rsidRDefault="00254D2D" w:rsidP="00355749">
            <w:pPr>
              <w:rPr>
                <w:b/>
                <w:lang w:val="en-GB"/>
              </w:rPr>
            </w:pPr>
            <w:r w:rsidRPr="00C22920">
              <w:rPr>
                <w:b/>
                <w:lang w:val="en-GB"/>
              </w:rPr>
              <w:t xml:space="preserve">in brief </w:t>
            </w:r>
            <w:r w:rsidRPr="00C22920">
              <w:rPr>
                <w:rStyle w:val="FootnoteReference"/>
                <w:b/>
                <w:lang w:val="en-GB"/>
              </w:rPr>
              <w:footnoteReference w:id="2"/>
            </w:r>
          </w:p>
        </w:tc>
        <w:tc>
          <w:tcPr>
            <w:tcW w:w="1003" w:type="pct"/>
            <w:vMerge w:val="restart"/>
            <w:tcBorders>
              <w:top w:val="single" w:sz="4" w:space="0" w:color="auto"/>
            </w:tcBorders>
            <w:shd w:val="clear" w:color="auto" w:fill="A6A6A6"/>
          </w:tcPr>
          <w:p w14:paraId="713CCC8B" w14:textId="77777777" w:rsidR="00254D2D" w:rsidRPr="00C22920" w:rsidRDefault="00254D2D" w:rsidP="00355749">
            <w:pPr>
              <w:rPr>
                <w:b/>
                <w:lang w:val="en-GB"/>
              </w:rPr>
            </w:pPr>
            <w:r w:rsidRPr="00C22920">
              <w:rPr>
                <w:b/>
                <w:lang w:val="en-GB"/>
              </w:rPr>
              <w:t xml:space="preserve">Reference to relevant sections of admission to trading rules </w:t>
            </w:r>
          </w:p>
        </w:tc>
        <w:tc>
          <w:tcPr>
            <w:tcW w:w="1614" w:type="pct"/>
            <w:gridSpan w:val="3"/>
            <w:tcBorders>
              <w:top w:val="single" w:sz="4" w:space="0" w:color="auto"/>
              <w:right w:val="single" w:sz="4" w:space="0" w:color="auto"/>
            </w:tcBorders>
            <w:shd w:val="clear" w:color="auto" w:fill="A6A6A6"/>
          </w:tcPr>
          <w:p w14:paraId="447FD294" w14:textId="77777777" w:rsidR="00254D2D" w:rsidRPr="00C22920" w:rsidRDefault="00254D2D" w:rsidP="00355749">
            <w:pPr>
              <w:jc w:val="center"/>
              <w:rPr>
                <w:b/>
                <w:lang w:val="en-GB"/>
              </w:rPr>
            </w:pPr>
            <w:r w:rsidRPr="00C22920">
              <w:rPr>
                <w:b/>
                <w:lang w:val="en-GB"/>
              </w:rPr>
              <w:t>Admission criteria compliance</w:t>
            </w:r>
          </w:p>
        </w:tc>
        <w:tc>
          <w:tcPr>
            <w:tcW w:w="1141" w:type="pct"/>
            <w:vMerge w:val="restart"/>
            <w:tcBorders>
              <w:top w:val="single" w:sz="4" w:space="0" w:color="auto"/>
              <w:left w:val="single" w:sz="4" w:space="0" w:color="auto"/>
            </w:tcBorders>
            <w:shd w:val="clear" w:color="auto" w:fill="A6A6A6"/>
          </w:tcPr>
          <w:p w14:paraId="76BE48C3" w14:textId="77777777" w:rsidR="00254D2D" w:rsidRPr="00C22920" w:rsidRDefault="00254D2D" w:rsidP="00355749">
            <w:pPr>
              <w:rPr>
                <w:b/>
                <w:lang w:val="en-GB"/>
              </w:rPr>
            </w:pPr>
            <w:r w:rsidRPr="00C22920">
              <w:rPr>
                <w:b/>
                <w:lang w:val="en-GB"/>
              </w:rPr>
              <w:t>Comments on compliance with the specific admission to trading criteria – if relevant</w:t>
            </w:r>
          </w:p>
        </w:tc>
      </w:tr>
      <w:tr w:rsidR="00254D2D" w:rsidRPr="00706E66" w14:paraId="60A2D690" w14:textId="77777777" w:rsidTr="00355749">
        <w:trPr>
          <w:trHeight w:val="228"/>
        </w:trPr>
        <w:tc>
          <w:tcPr>
            <w:tcW w:w="1242" w:type="pct"/>
            <w:vMerge/>
            <w:shd w:val="clear" w:color="auto" w:fill="A6A6A6"/>
          </w:tcPr>
          <w:p w14:paraId="28B23F7A" w14:textId="77777777" w:rsidR="00254D2D" w:rsidRPr="0026581F" w:rsidRDefault="00254D2D" w:rsidP="00355749">
            <w:pPr>
              <w:rPr>
                <w:b/>
                <w:sz w:val="24"/>
                <w:lang w:val="en-GB"/>
              </w:rPr>
            </w:pPr>
          </w:p>
        </w:tc>
        <w:tc>
          <w:tcPr>
            <w:tcW w:w="1003" w:type="pct"/>
            <w:vMerge/>
            <w:shd w:val="clear" w:color="auto" w:fill="A6A6A6"/>
          </w:tcPr>
          <w:p w14:paraId="5939F3C6" w14:textId="77777777" w:rsidR="00254D2D" w:rsidRPr="0026581F" w:rsidRDefault="00254D2D" w:rsidP="00355749">
            <w:pPr>
              <w:rPr>
                <w:b/>
                <w:sz w:val="24"/>
                <w:lang w:val="en-GB"/>
              </w:rPr>
            </w:pPr>
          </w:p>
        </w:tc>
        <w:tc>
          <w:tcPr>
            <w:tcW w:w="508" w:type="pct"/>
            <w:vMerge w:val="restart"/>
            <w:tcBorders>
              <w:top w:val="single" w:sz="4" w:space="0" w:color="auto"/>
              <w:right w:val="single" w:sz="4" w:space="0" w:color="auto"/>
            </w:tcBorders>
            <w:shd w:val="clear" w:color="auto" w:fill="A6A6A6"/>
          </w:tcPr>
          <w:p w14:paraId="1F49E593" w14:textId="77777777" w:rsidR="00254D2D" w:rsidRPr="0026581F" w:rsidRDefault="00254D2D" w:rsidP="00355749">
            <w:pPr>
              <w:rPr>
                <w:b/>
                <w:sz w:val="18"/>
                <w:szCs w:val="16"/>
                <w:lang w:val="en-GB"/>
              </w:rPr>
            </w:pPr>
            <w:r w:rsidRPr="00C22920">
              <w:rPr>
                <w:b/>
                <w:sz w:val="18"/>
                <w:szCs w:val="16"/>
                <w:lang w:val="en-GB"/>
              </w:rPr>
              <w:t>Admission to trading criteria</w:t>
            </w:r>
            <w:r w:rsidRPr="0026581F">
              <w:rPr>
                <w:b/>
                <w:sz w:val="18"/>
                <w:szCs w:val="16"/>
                <w:lang w:val="en-GB"/>
              </w:rPr>
              <w:t xml:space="preserve"> </w:t>
            </w:r>
            <w:r w:rsidRPr="0026581F">
              <w:rPr>
                <w:b/>
                <w:sz w:val="18"/>
                <w:szCs w:val="16"/>
                <w:u w:val="single"/>
                <w:lang w:val="en-GB"/>
              </w:rPr>
              <w:t>fulfilled</w:t>
            </w:r>
          </w:p>
        </w:tc>
        <w:tc>
          <w:tcPr>
            <w:tcW w:w="1106" w:type="pct"/>
            <w:gridSpan w:val="2"/>
            <w:tcBorders>
              <w:top w:val="single" w:sz="4" w:space="0" w:color="auto"/>
              <w:right w:val="single" w:sz="4" w:space="0" w:color="auto"/>
            </w:tcBorders>
            <w:shd w:val="clear" w:color="auto" w:fill="A6A6A6"/>
          </w:tcPr>
          <w:p w14:paraId="70F8E86E" w14:textId="77777777" w:rsidR="00254D2D" w:rsidRPr="0026581F" w:rsidRDefault="00254D2D" w:rsidP="00355749">
            <w:pPr>
              <w:jc w:val="center"/>
              <w:rPr>
                <w:b/>
                <w:sz w:val="24"/>
                <w:lang w:val="en-GB"/>
              </w:rPr>
            </w:pPr>
            <w:r w:rsidRPr="00C22920">
              <w:rPr>
                <w:b/>
                <w:sz w:val="18"/>
                <w:szCs w:val="16"/>
                <w:lang w:val="en-GB"/>
              </w:rPr>
              <w:t xml:space="preserve">Admission to trading criteria </w:t>
            </w:r>
            <w:r w:rsidRPr="00C22920">
              <w:rPr>
                <w:b/>
                <w:sz w:val="18"/>
                <w:szCs w:val="16"/>
                <w:u w:val="single"/>
                <w:lang w:val="en-GB"/>
              </w:rPr>
              <w:t>not fulfilled</w:t>
            </w:r>
            <w:r w:rsidRPr="00C22920">
              <w:rPr>
                <w:rStyle w:val="FootnoteReference"/>
                <w:b/>
                <w:sz w:val="18"/>
                <w:lang w:val="en-GB"/>
              </w:rPr>
              <w:t>3</w:t>
            </w:r>
          </w:p>
        </w:tc>
        <w:tc>
          <w:tcPr>
            <w:tcW w:w="1141" w:type="pct"/>
            <w:vMerge/>
            <w:tcBorders>
              <w:left w:val="single" w:sz="4" w:space="0" w:color="auto"/>
            </w:tcBorders>
            <w:shd w:val="clear" w:color="auto" w:fill="A6A6A6"/>
          </w:tcPr>
          <w:p w14:paraId="17F9AE5D" w14:textId="77777777" w:rsidR="00254D2D" w:rsidRPr="0026581F" w:rsidRDefault="00254D2D" w:rsidP="00355749">
            <w:pPr>
              <w:rPr>
                <w:b/>
                <w:sz w:val="24"/>
                <w:lang w:val="en-GB"/>
              </w:rPr>
            </w:pPr>
          </w:p>
        </w:tc>
      </w:tr>
      <w:tr w:rsidR="00254D2D" w:rsidRPr="00706E66" w14:paraId="56A35BBE" w14:textId="77777777" w:rsidTr="00355749">
        <w:trPr>
          <w:trHeight w:val="968"/>
        </w:trPr>
        <w:tc>
          <w:tcPr>
            <w:tcW w:w="1242" w:type="pct"/>
            <w:vMerge/>
            <w:shd w:val="clear" w:color="auto" w:fill="A6A6A6"/>
          </w:tcPr>
          <w:p w14:paraId="620E35AA" w14:textId="77777777" w:rsidR="00254D2D" w:rsidRPr="0026581F" w:rsidRDefault="00254D2D" w:rsidP="00355749">
            <w:pPr>
              <w:rPr>
                <w:b/>
                <w:sz w:val="24"/>
                <w:lang w:val="en-GB"/>
              </w:rPr>
            </w:pPr>
          </w:p>
        </w:tc>
        <w:tc>
          <w:tcPr>
            <w:tcW w:w="1003" w:type="pct"/>
            <w:vMerge/>
            <w:shd w:val="clear" w:color="auto" w:fill="A6A6A6"/>
          </w:tcPr>
          <w:p w14:paraId="562DB56A" w14:textId="77777777" w:rsidR="00254D2D" w:rsidRPr="0026581F" w:rsidRDefault="00254D2D" w:rsidP="00355749">
            <w:pPr>
              <w:rPr>
                <w:b/>
                <w:sz w:val="24"/>
                <w:lang w:val="en-GB"/>
              </w:rPr>
            </w:pPr>
          </w:p>
        </w:tc>
        <w:tc>
          <w:tcPr>
            <w:tcW w:w="508" w:type="pct"/>
            <w:vMerge/>
            <w:tcBorders>
              <w:right w:val="single" w:sz="4" w:space="0" w:color="auto"/>
            </w:tcBorders>
            <w:shd w:val="clear" w:color="auto" w:fill="A6A6A6"/>
          </w:tcPr>
          <w:p w14:paraId="32958A9C" w14:textId="77777777" w:rsidR="00254D2D" w:rsidRPr="0026581F" w:rsidRDefault="00254D2D" w:rsidP="00355749">
            <w:pPr>
              <w:rPr>
                <w:b/>
                <w:i/>
                <w:sz w:val="20"/>
                <w:szCs w:val="18"/>
                <w:lang w:val="en-GB"/>
              </w:rPr>
            </w:pPr>
          </w:p>
        </w:tc>
        <w:tc>
          <w:tcPr>
            <w:tcW w:w="522" w:type="pct"/>
            <w:tcBorders>
              <w:top w:val="single" w:sz="4" w:space="0" w:color="auto"/>
              <w:left w:val="single" w:sz="4" w:space="0" w:color="auto"/>
              <w:bottom w:val="single" w:sz="4" w:space="0" w:color="auto"/>
            </w:tcBorders>
            <w:shd w:val="clear" w:color="auto" w:fill="A6A6A6"/>
          </w:tcPr>
          <w:p w14:paraId="2DF35A1D" w14:textId="77777777" w:rsidR="00254D2D" w:rsidRPr="0026581F" w:rsidRDefault="00254D2D" w:rsidP="00355749">
            <w:pPr>
              <w:rPr>
                <w:b/>
                <w:i/>
                <w:sz w:val="20"/>
                <w:szCs w:val="18"/>
                <w:lang w:val="en-GB"/>
              </w:rPr>
            </w:pPr>
            <w:r w:rsidRPr="0026581F">
              <w:rPr>
                <w:b/>
                <w:sz w:val="18"/>
                <w:szCs w:val="16"/>
                <w:lang w:val="en-GB"/>
              </w:rPr>
              <w:t>Exemption is sought?</w:t>
            </w:r>
          </w:p>
        </w:tc>
        <w:tc>
          <w:tcPr>
            <w:tcW w:w="584" w:type="pct"/>
            <w:tcBorders>
              <w:top w:val="single" w:sz="4" w:space="0" w:color="auto"/>
              <w:right w:val="single" w:sz="4" w:space="0" w:color="auto"/>
            </w:tcBorders>
            <w:shd w:val="clear" w:color="auto" w:fill="A6A6A6"/>
          </w:tcPr>
          <w:p w14:paraId="6BD4E366" w14:textId="77777777" w:rsidR="00254D2D" w:rsidRPr="0026581F" w:rsidRDefault="00254D2D" w:rsidP="00355749">
            <w:pPr>
              <w:jc w:val="center"/>
              <w:rPr>
                <w:b/>
                <w:sz w:val="24"/>
                <w:lang w:val="en-GB"/>
              </w:rPr>
            </w:pPr>
            <w:r w:rsidRPr="0026581F">
              <w:rPr>
                <w:b/>
                <w:sz w:val="18"/>
                <w:szCs w:val="16"/>
                <w:lang w:val="en-GB"/>
              </w:rPr>
              <w:t xml:space="preserve">Or a condition for </w:t>
            </w:r>
            <w:r>
              <w:rPr>
                <w:b/>
                <w:sz w:val="18"/>
                <w:szCs w:val="16"/>
                <w:lang w:val="en-GB"/>
              </w:rPr>
              <w:t>admission</w:t>
            </w:r>
            <w:r w:rsidRPr="0026581F">
              <w:rPr>
                <w:b/>
                <w:sz w:val="18"/>
                <w:szCs w:val="16"/>
                <w:lang w:val="en-GB"/>
              </w:rPr>
              <w:t>?</w:t>
            </w:r>
            <w:r w:rsidRPr="0026581F">
              <w:rPr>
                <w:rStyle w:val="FootnoteReference"/>
                <w:b/>
                <w:sz w:val="18"/>
                <w:lang w:val="en-GB"/>
              </w:rPr>
              <w:footnoteReference w:id="3"/>
            </w:r>
          </w:p>
        </w:tc>
        <w:tc>
          <w:tcPr>
            <w:tcW w:w="1141" w:type="pct"/>
            <w:vMerge/>
            <w:tcBorders>
              <w:left w:val="single" w:sz="4" w:space="0" w:color="auto"/>
            </w:tcBorders>
            <w:shd w:val="clear" w:color="auto" w:fill="A6A6A6"/>
          </w:tcPr>
          <w:p w14:paraId="6124AA3A" w14:textId="77777777" w:rsidR="00254D2D" w:rsidRPr="0026581F" w:rsidRDefault="00254D2D" w:rsidP="00355749">
            <w:pPr>
              <w:rPr>
                <w:b/>
                <w:sz w:val="24"/>
                <w:lang w:val="en-GB"/>
              </w:rPr>
            </w:pPr>
          </w:p>
        </w:tc>
      </w:tr>
      <w:tr w:rsidR="00254D2D" w:rsidRPr="0026581F" w14:paraId="2520DB2B" w14:textId="77777777" w:rsidTr="00355749">
        <w:tc>
          <w:tcPr>
            <w:tcW w:w="5000" w:type="pct"/>
            <w:gridSpan w:val="6"/>
            <w:shd w:val="clear" w:color="auto" w:fill="A6A6A6"/>
          </w:tcPr>
          <w:p w14:paraId="54037EB5" w14:textId="77777777" w:rsidR="00254D2D" w:rsidRPr="0026581F" w:rsidRDefault="00254D2D" w:rsidP="00355749">
            <w:pPr>
              <w:jc w:val="center"/>
              <w:rPr>
                <w:rFonts w:eastAsia="Calibri"/>
                <w:b/>
                <w:sz w:val="20"/>
                <w:szCs w:val="18"/>
                <w:lang w:val="en-GB"/>
              </w:rPr>
            </w:pPr>
            <w:r>
              <w:rPr>
                <w:rFonts w:eastAsia="Calibri"/>
                <w:b/>
                <w:sz w:val="20"/>
                <w:szCs w:val="18"/>
                <w:lang w:val="en-GB"/>
              </w:rPr>
              <w:t>Commercial</w:t>
            </w:r>
            <w:r w:rsidRPr="0026581F">
              <w:rPr>
                <w:rFonts w:eastAsia="Calibri"/>
                <w:b/>
                <w:sz w:val="20"/>
                <w:szCs w:val="18"/>
                <w:lang w:val="en-GB"/>
              </w:rPr>
              <w:t xml:space="preserve"> criteria</w:t>
            </w:r>
          </w:p>
        </w:tc>
      </w:tr>
      <w:tr w:rsidR="00254D2D" w:rsidRPr="0026581F" w14:paraId="11E937F3" w14:textId="77777777" w:rsidTr="00355749">
        <w:tc>
          <w:tcPr>
            <w:tcW w:w="1242" w:type="pct"/>
            <w:shd w:val="clear" w:color="auto" w:fill="BFBFBF"/>
          </w:tcPr>
          <w:p w14:paraId="7884CC4C" w14:textId="77777777" w:rsidR="00254D2D" w:rsidRPr="0026581F" w:rsidRDefault="00254D2D" w:rsidP="00355749">
            <w:pPr>
              <w:rPr>
                <w:rFonts w:eastAsia="Calibri"/>
                <w:sz w:val="18"/>
                <w:szCs w:val="16"/>
                <w:lang w:val="en-GB"/>
              </w:rPr>
            </w:pPr>
            <w:r w:rsidRPr="0026581F">
              <w:rPr>
                <w:rFonts w:eastAsia="Calibri"/>
                <w:sz w:val="18"/>
                <w:szCs w:val="16"/>
                <w:lang w:val="en-GB"/>
              </w:rPr>
              <w:t xml:space="preserve">Sufficient liquidity for </w:t>
            </w:r>
            <w:r w:rsidRPr="009B29B7">
              <w:rPr>
                <w:rFonts w:eastAsia="Calibri"/>
                <w:sz w:val="18"/>
                <w:szCs w:val="16"/>
                <w:lang w:val="en-GB"/>
              </w:rPr>
              <w:t>12</w:t>
            </w:r>
            <w:r w:rsidRPr="0026581F">
              <w:rPr>
                <w:rFonts w:eastAsia="Calibri"/>
                <w:sz w:val="18"/>
                <w:szCs w:val="16"/>
                <w:lang w:val="en-GB"/>
              </w:rPr>
              <w:t xml:space="preserve"> months</w:t>
            </w:r>
          </w:p>
        </w:tc>
        <w:tc>
          <w:tcPr>
            <w:tcW w:w="1003" w:type="pct"/>
            <w:shd w:val="clear" w:color="auto" w:fill="BFBFBF"/>
          </w:tcPr>
          <w:p w14:paraId="199E6AFC" w14:textId="6CB1D761" w:rsidR="00254D2D" w:rsidRPr="0052201E" w:rsidRDefault="00254D2D" w:rsidP="00355749">
            <w:pPr>
              <w:rPr>
                <w:rFonts w:eastAsia="Calibri"/>
                <w:sz w:val="18"/>
                <w:szCs w:val="16"/>
                <w:lang w:val="en-GB"/>
              </w:rPr>
            </w:pPr>
            <w:r w:rsidRPr="0052201E">
              <w:rPr>
                <w:rFonts w:eastAsia="Calibri"/>
                <w:sz w:val="18"/>
                <w:szCs w:val="16"/>
                <w:lang w:val="en-GB"/>
              </w:rPr>
              <w:t xml:space="preserve">RB Part II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1</w:t>
            </w:r>
            <w:r w:rsidRPr="0052201E">
              <w:rPr>
                <w:rFonts w:eastAsia="Calibri"/>
                <w:sz w:val="18"/>
                <w:szCs w:val="16"/>
                <w:lang w:val="en-GB"/>
              </w:rPr>
              <w:t>.3.1</w:t>
            </w:r>
          </w:p>
        </w:tc>
        <w:tc>
          <w:tcPr>
            <w:tcW w:w="508" w:type="pct"/>
            <w:shd w:val="clear" w:color="auto" w:fill="FFFFFF"/>
          </w:tcPr>
          <w:p w14:paraId="6D7B0442" w14:textId="77777777" w:rsidR="00254D2D" w:rsidRPr="0026581F" w:rsidRDefault="00254D2D" w:rsidP="00355749">
            <w:pPr>
              <w:jc w:val="center"/>
              <w:rPr>
                <w:rFonts w:eastAsia="Calibri"/>
                <w:sz w:val="20"/>
                <w:szCs w:val="18"/>
                <w:lang w:val="en-GB"/>
              </w:rPr>
            </w:pPr>
          </w:p>
        </w:tc>
        <w:tc>
          <w:tcPr>
            <w:tcW w:w="522" w:type="pct"/>
            <w:shd w:val="clear" w:color="auto" w:fill="D9D9D9"/>
          </w:tcPr>
          <w:p w14:paraId="235F5974" w14:textId="77777777" w:rsidR="00254D2D" w:rsidRPr="0026581F" w:rsidRDefault="00254D2D" w:rsidP="00355749">
            <w:pPr>
              <w:rPr>
                <w:rFonts w:eastAsia="Calibri"/>
                <w:sz w:val="20"/>
                <w:szCs w:val="18"/>
                <w:lang w:val="en-GB"/>
              </w:rPr>
            </w:pPr>
          </w:p>
        </w:tc>
        <w:tc>
          <w:tcPr>
            <w:tcW w:w="584" w:type="pct"/>
          </w:tcPr>
          <w:p w14:paraId="1BF78C30" w14:textId="77777777" w:rsidR="00254D2D" w:rsidRPr="0026581F" w:rsidRDefault="00254D2D" w:rsidP="00355749">
            <w:pPr>
              <w:jc w:val="center"/>
              <w:rPr>
                <w:rFonts w:eastAsia="Calibri"/>
                <w:sz w:val="20"/>
                <w:szCs w:val="18"/>
                <w:lang w:val="en-GB"/>
              </w:rPr>
            </w:pPr>
          </w:p>
        </w:tc>
        <w:tc>
          <w:tcPr>
            <w:tcW w:w="1141" w:type="pct"/>
          </w:tcPr>
          <w:p w14:paraId="02C9C723" w14:textId="77777777" w:rsidR="00254D2D" w:rsidRPr="0026581F" w:rsidRDefault="00254D2D" w:rsidP="00355749">
            <w:pPr>
              <w:rPr>
                <w:rFonts w:eastAsia="Calibri"/>
                <w:sz w:val="20"/>
                <w:szCs w:val="18"/>
                <w:lang w:val="en-GB"/>
              </w:rPr>
            </w:pPr>
          </w:p>
        </w:tc>
      </w:tr>
      <w:tr w:rsidR="00254D2D" w:rsidRPr="00706E66" w14:paraId="09CD453D" w14:textId="77777777" w:rsidTr="00355749">
        <w:tc>
          <w:tcPr>
            <w:tcW w:w="1242" w:type="pct"/>
            <w:shd w:val="clear" w:color="auto" w:fill="BFBFBF"/>
          </w:tcPr>
          <w:p w14:paraId="3B141B87" w14:textId="77777777" w:rsidR="00254D2D" w:rsidRPr="0026581F" w:rsidRDefault="00254D2D" w:rsidP="00355749">
            <w:pPr>
              <w:rPr>
                <w:rFonts w:eastAsia="Calibri"/>
                <w:sz w:val="18"/>
                <w:szCs w:val="16"/>
                <w:lang w:val="en-GB"/>
              </w:rPr>
            </w:pPr>
            <w:r w:rsidRPr="0026581F">
              <w:rPr>
                <w:rFonts w:eastAsia="Calibri"/>
                <w:sz w:val="18"/>
                <w:szCs w:val="16"/>
                <w:lang w:val="en-GB"/>
              </w:rPr>
              <w:t xml:space="preserve">Financial </w:t>
            </w:r>
            <w:r>
              <w:rPr>
                <w:rFonts w:eastAsia="Calibri"/>
                <w:sz w:val="18"/>
                <w:szCs w:val="16"/>
                <w:lang w:val="en-GB"/>
              </w:rPr>
              <w:t>statements</w:t>
            </w:r>
            <w:r w:rsidRPr="0026581F">
              <w:rPr>
                <w:rFonts w:eastAsia="Calibri"/>
                <w:sz w:val="18"/>
                <w:szCs w:val="16"/>
                <w:lang w:val="en-GB"/>
              </w:rPr>
              <w:t xml:space="preserve"> </w:t>
            </w:r>
          </w:p>
        </w:tc>
        <w:tc>
          <w:tcPr>
            <w:tcW w:w="1003" w:type="pct"/>
            <w:shd w:val="clear" w:color="auto" w:fill="BFBFBF"/>
          </w:tcPr>
          <w:p w14:paraId="0D70E802" w14:textId="6FEA648E" w:rsidR="00254D2D" w:rsidRPr="0052201E" w:rsidRDefault="00254D2D" w:rsidP="00355749">
            <w:pPr>
              <w:rPr>
                <w:rFonts w:eastAsia="Calibri"/>
                <w:sz w:val="18"/>
                <w:szCs w:val="16"/>
                <w:lang w:val="en-GB"/>
              </w:rPr>
            </w:pPr>
            <w:r w:rsidRPr="0052201E">
              <w:rPr>
                <w:rFonts w:eastAsia="Calibri"/>
                <w:sz w:val="18"/>
                <w:szCs w:val="16"/>
                <w:lang w:val="en-GB"/>
              </w:rPr>
              <w:t xml:space="preserve">RB Part I 3.2.3 &amp; 3.2.4, RB Part II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1</w:t>
            </w:r>
            <w:r w:rsidRPr="0052201E">
              <w:rPr>
                <w:rFonts w:eastAsia="Calibri"/>
                <w:sz w:val="18"/>
                <w:szCs w:val="16"/>
                <w:lang w:val="en-GB"/>
              </w:rPr>
              <w:t>.3.2</w:t>
            </w:r>
          </w:p>
        </w:tc>
        <w:tc>
          <w:tcPr>
            <w:tcW w:w="508" w:type="pct"/>
            <w:shd w:val="clear" w:color="auto" w:fill="FFFFFF"/>
          </w:tcPr>
          <w:p w14:paraId="3F813FA9" w14:textId="77777777" w:rsidR="00254D2D" w:rsidRPr="0026581F" w:rsidRDefault="00254D2D" w:rsidP="00355749">
            <w:pPr>
              <w:jc w:val="center"/>
              <w:rPr>
                <w:rFonts w:eastAsia="Calibri"/>
                <w:sz w:val="20"/>
                <w:szCs w:val="18"/>
                <w:lang w:val="en-GB"/>
              </w:rPr>
            </w:pPr>
          </w:p>
        </w:tc>
        <w:tc>
          <w:tcPr>
            <w:tcW w:w="522" w:type="pct"/>
            <w:shd w:val="clear" w:color="auto" w:fill="D9D9D9"/>
          </w:tcPr>
          <w:p w14:paraId="5C74134E" w14:textId="77777777" w:rsidR="00254D2D" w:rsidRPr="0026581F" w:rsidRDefault="00254D2D" w:rsidP="00355749">
            <w:pPr>
              <w:rPr>
                <w:rFonts w:eastAsia="Calibri"/>
                <w:sz w:val="20"/>
                <w:szCs w:val="18"/>
                <w:lang w:val="en-GB"/>
              </w:rPr>
            </w:pPr>
          </w:p>
        </w:tc>
        <w:tc>
          <w:tcPr>
            <w:tcW w:w="584" w:type="pct"/>
            <w:shd w:val="clear" w:color="auto" w:fill="D9D9D9"/>
          </w:tcPr>
          <w:p w14:paraId="6C157A2A" w14:textId="77777777" w:rsidR="00254D2D" w:rsidRPr="0026581F" w:rsidRDefault="00254D2D" w:rsidP="00355749">
            <w:pPr>
              <w:rPr>
                <w:rFonts w:eastAsia="Calibri"/>
                <w:sz w:val="20"/>
                <w:szCs w:val="18"/>
                <w:lang w:val="en-GB"/>
              </w:rPr>
            </w:pPr>
          </w:p>
        </w:tc>
        <w:tc>
          <w:tcPr>
            <w:tcW w:w="1141" w:type="pct"/>
          </w:tcPr>
          <w:p w14:paraId="0EFC8D81" w14:textId="77777777" w:rsidR="00254D2D" w:rsidRPr="0026581F" w:rsidRDefault="00254D2D" w:rsidP="00355749">
            <w:pPr>
              <w:rPr>
                <w:rFonts w:eastAsia="Calibri"/>
                <w:sz w:val="20"/>
                <w:szCs w:val="18"/>
                <w:lang w:val="en-GB"/>
              </w:rPr>
            </w:pPr>
          </w:p>
        </w:tc>
      </w:tr>
      <w:tr w:rsidR="00254D2D" w:rsidRPr="00706E66" w14:paraId="6A70977F" w14:textId="77777777" w:rsidTr="00355749">
        <w:tc>
          <w:tcPr>
            <w:tcW w:w="5000" w:type="pct"/>
            <w:gridSpan w:val="6"/>
            <w:shd w:val="clear" w:color="auto" w:fill="A6A6A6"/>
          </w:tcPr>
          <w:p w14:paraId="22E5F18E" w14:textId="77777777" w:rsidR="00254D2D" w:rsidRPr="0052201E" w:rsidRDefault="00254D2D" w:rsidP="00355749">
            <w:pPr>
              <w:jc w:val="center"/>
              <w:rPr>
                <w:rFonts w:eastAsia="Calibri"/>
                <w:b/>
                <w:sz w:val="20"/>
                <w:szCs w:val="18"/>
                <w:lang w:val="en-GB"/>
              </w:rPr>
            </w:pPr>
            <w:r w:rsidRPr="0052201E">
              <w:rPr>
                <w:rFonts w:eastAsia="Calibri"/>
                <w:b/>
                <w:sz w:val="20"/>
                <w:szCs w:val="18"/>
                <w:lang w:val="en-GB"/>
              </w:rPr>
              <w:t>Management and board of directors</w:t>
            </w:r>
          </w:p>
        </w:tc>
      </w:tr>
      <w:tr w:rsidR="00254D2D" w:rsidRPr="0026581F" w14:paraId="5466443F" w14:textId="77777777" w:rsidTr="00355749">
        <w:tc>
          <w:tcPr>
            <w:tcW w:w="1242" w:type="pct"/>
            <w:shd w:val="clear" w:color="auto" w:fill="BFBFBF"/>
          </w:tcPr>
          <w:p w14:paraId="7C70C4D7" w14:textId="77777777" w:rsidR="00254D2D" w:rsidRPr="0026581F" w:rsidRDefault="00254D2D" w:rsidP="00355749">
            <w:pPr>
              <w:rPr>
                <w:rFonts w:eastAsia="Calibri"/>
                <w:sz w:val="18"/>
                <w:szCs w:val="16"/>
                <w:lang w:val="en-GB"/>
              </w:rPr>
            </w:pPr>
            <w:r w:rsidRPr="0026581F">
              <w:rPr>
                <w:rFonts w:eastAsia="Calibri"/>
                <w:sz w:val="18"/>
                <w:szCs w:val="16"/>
                <w:lang w:val="en-GB"/>
              </w:rPr>
              <w:t>Managemen</w:t>
            </w:r>
            <w:r w:rsidRPr="006B6C46">
              <w:rPr>
                <w:rFonts w:eastAsia="Calibri"/>
                <w:sz w:val="18"/>
                <w:szCs w:val="16"/>
                <w:lang w:val="en-GB"/>
              </w:rPr>
              <w:t>t</w:t>
            </w:r>
          </w:p>
        </w:tc>
        <w:tc>
          <w:tcPr>
            <w:tcW w:w="1003" w:type="pct"/>
            <w:shd w:val="clear" w:color="auto" w:fill="BFBFBF"/>
          </w:tcPr>
          <w:p w14:paraId="0D3C66EB" w14:textId="7C575B16" w:rsidR="00254D2D" w:rsidRPr="0052201E" w:rsidRDefault="00254D2D" w:rsidP="00355749">
            <w:pPr>
              <w:rPr>
                <w:rFonts w:eastAsia="Calibri"/>
                <w:sz w:val="18"/>
                <w:szCs w:val="16"/>
                <w:lang w:val="en-GB"/>
              </w:rPr>
            </w:pPr>
            <w:r w:rsidRPr="0052201E">
              <w:rPr>
                <w:rFonts w:eastAsia="Calibri"/>
                <w:sz w:val="18"/>
                <w:szCs w:val="16"/>
                <w:lang w:val="en-GB"/>
              </w:rPr>
              <w:t xml:space="preserve">RB Part II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1</w:t>
            </w:r>
            <w:r w:rsidRPr="0052201E">
              <w:rPr>
                <w:rFonts w:eastAsia="Calibri"/>
                <w:sz w:val="18"/>
                <w:szCs w:val="16"/>
                <w:lang w:val="en-GB"/>
              </w:rPr>
              <w:t>.4.1</w:t>
            </w:r>
          </w:p>
        </w:tc>
        <w:tc>
          <w:tcPr>
            <w:tcW w:w="508" w:type="pct"/>
            <w:shd w:val="clear" w:color="auto" w:fill="FFFFFF"/>
          </w:tcPr>
          <w:p w14:paraId="6144EDC1" w14:textId="77777777" w:rsidR="00254D2D" w:rsidRPr="0026581F" w:rsidRDefault="00254D2D" w:rsidP="00355749">
            <w:pPr>
              <w:jc w:val="center"/>
              <w:rPr>
                <w:rFonts w:eastAsia="Calibri"/>
                <w:sz w:val="20"/>
                <w:szCs w:val="18"/>
                <w:lang w:val="en-GB"/>
              </w:rPr>
            </w:pPr>
          </w:p>
        </w:tc>
        <w:tc>
          <w:tcPr>
            <w:tcW w:w="522" w:type="pct"/>
            <w:shd w:val="clear" w:color="auto" w:fill="D9D9D9"/>
          </w:tcPr>
          <w:p w14:paraId="2C6201A5" w14:textId="77777777" w:rsidR="00254D2D" w:rsidRPr="0026581F" w:rsidRDefault="00254D2D" w:rsidP="00355749">
            <w:pPr>
              <w:rPr>
                <w:rFonts w:eastAsia="Calibri"/>
                <w:sz w:val="20"/>
                <w:szCs w:val="18"/>
                <w:lang w:val="en-GB"/>
              </w:rPr>
            </w:pPr>
          </w:p>
        </w:tc>
        <w:tc>
          <w:tcPr>
            <w:tcW w:w="584" w:type="pct"/>
            <w:tcBorders>
              <w:bottom w:val="single" w:sz="4" w:space="0" w:color="auto"/>
            </w:tcBorders>
            <w:shd w:val="pct15" w:color="auto" w:fill="auto"/>
          </w:tcPr>
          <w:p w14:paraId="46E5EC6F" w14:textId="77777777" w:rsidR="00254D2D" w:rsidRPr="0026581F" w:rsidRDefault="00254D2D" w:rsidP="00355749">
            <w:pPr>
              <w:rPr>
                <w:rFonts w:eastAsia="Calibri"/>
                <w:sz w:val="20"/>
                <w:szCs w:val="18"/>
                <w:lang w:val="en-GB"/>
              </w:rPr>
            </w:pPr>
          </w:p>
        </w:tc>
        <w:tc>
          <w:tcPr>
            <w:tcW w:w="1141" w:type="pct"/>
          </w:tcPr>
          <w:p w14:paraId="7DAC41D3" w14:textId="77777777" w:rsidR="00254D2D" w:rsidRPr="0026581F" w:rsidRDefault="00254D2D" w:rsidP="00355749">
            <w:pPr>
              <w:jc w:val="both"/>
              <w:rPr>
                <w:rFonts w:eastAsia="Calibri"/>
                <w:sz w:val="20"/>
                <w:szCs w:val="18"/>
                <w:lang w:val="en-GB"/>
              </w:rPr>
            </w:pPr>
          </w:p>
        </w:tc>
      </w:tr>
      <w:tr w:rsidR="00254D2D" w:rsidRPr="0026581F" w14:paraId="327DC1A7" w14:textId="77777777" w:rsidTr="00355749">
        <w:tc>
          <w:tcPr>
            <w:tcW w:w="1242" w:type="pct"/>
            <w:shd w:val="clear" w:color="auto" w:fill="BFBFBF"/>
          </w:tcPr>
          <w:p w14:paraId="725503D1" w14:textId="77777777" w:rsidR="00254D2D" w:rsidRPr="0026581F" w:rsidRDefault="00254D2D" w:rsidP="00355749">
            <w:pPr>
              <w:rPr>
                <w:rFonts w:eastAsia="Calibri"/>
                <w:sz w:val="18"/>
                <w:szCs w:val="16"/>
                <w:lang w:val="en-GB"/>
              </w:rPr>
            </w:pPr>
            <w:r w:rsidRPr="0026581F">
              <w:rPr>
                <w:rFonts w:eastAsia="Calibri"/>
                <w:sz w:val="18"/>
                <w:szCs w:val="16"/>
                <w:lang w:val="en-GB"/>
              </w:rPr>
              <w:t xml:space="preserve">Board </w:t>
            </w:r>
            <w:r>
              <w:rPr>
                <w:rFonts w:eastAsia="Calibri"/>
                <w:sz w:val="18"/>
                <w:szCs w:val="16"/>
                <w:lang w:val="en-GB"/>
              </w:rPr>
              <w:t>of directors</w:t>
            </w:r>
          </w:p>
        </w:tc>
        <w:tc>
          <w:tcPr>
            <w:tcW w:w="1003" w:type="pct"/>
            <w:shd w:val="clear" w:color="auto" w:fill="BFBFBF"/>
          </w:tcPr>
          <w:p w14:paraId="42806E73" w14:textId="6260DB35" w:rsidR="00254D2D" w:rsidRPr="0052201E" w:rsidRDefault="00254D2D" w:rsidP="00355749">
            <w:pPr>
              <w:rPr>
                <w:rFonts w:eastAsia="Calibri"/>
                <w:sz w:val="18"/>
                <w:szCs w:val="16"/>
              </w:rPr>
            </w:pPr>
            <w:r w:rsidRPr="0052201E">
              <w:rPr>
                <w:rFonts w:eastAsia="Calibri"/>
                <w:sz w:val="18"/>
                <w:szCs w:val="16"/>
                <w:lang w:val="en-GB"/>
              </w:rPr>
              <w:t xml:space="preserve">RB Part II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1</w:t>
            </w:r>
            <w:r w:rsidRPr="0052201E">
              <w:rPr>
                <w:rFonts w:eastAsia="Calibri"/>
                <w:sz w:val="18"/>
                <w:szCs w:val="16"/>
                <w:lang w:val="en-GB"/>
              </w:rPr>
              <w:t>.4.2</w:t>
            </w:r>
          </w:p>
        </w:tc>
        <w:tc>
          <w:tcPr>
            <w:tcW w:w="508" w:type="pct"/>
            <w:shd w:val="clear" w:color="auto" w:fill="FFFFFF"/>
          </w:tcPr>
          <w:p w14:paraId="5419FFA0" w14:textId="77777777" w:rsidR="00254D2D" w:rsidRPr="0026581F" w:rsidRDefault="00254D2D" w:rsidP="00355749">
            <w:pPr>
              <w:jc w:val="center"/>
              <w:rPr>
                <w:rFonts w:eastAsia="Calibri"/>
                <w:sz w:val="20"/>
                <w:szCs w:val="18"/>
              </w:rPr>
            </w:pPr>
          </w:p>
        </w:tc>
        <w:tc>
          <w:tcPr>
            <w:tcW w:w="522" w:type="pct"/>
            <w:shd w:val="clear" w:color="auto" w:fill="D9D9D9" w:themeFill="background1" w:themeFillShade="D9"/>
          </w:tcPr>
          <w:p w14:paraId="047092C4" w14:textId="77777777" w:rsidR="00254D2D" w:rsidRPr="0026581F" w:rsidRDefault="00254D2D" w:rsidP="00355749">
            <w:pPr>
              <w:jc w:val="center"/>
              <w:rPr>
                <w:rFonts w:eastAsia="Calibri"/>
                <w:sz w:val="20"/>
                <w:szCs w:val="18"/>
              </w:rPr>
            </w:pPr>
          </w:p>
        </w:tc>
        <w:tc>
          <w:tcPr>
            <w:tcW w:w="584" w:type="pct"/>
            <w:shd w:val="clear" w:color="auto" w:fill="D9D9D9" w:themeFill="background1" w:themeFillShade="D9"/>
          </w:tcPr>
          <w:p w14:paraId="6DBB236C" w14:textId="77777777" w:rsidR="00254D2D" w:rsidRPr="0026581F" w:rsidRDefault="00254D2D" w:rsidP="00355749">
            <w:pPr>
              <w:jc w:val="center"/>
              <w:rPr>
                <w:rFonts w:eastAsia="Calibri"/>
                <w:sz w:val="20"/>
                <w:szCs w:val="18"/>
              </w:rPr>
            </w:pPr>
          </w:p>
        </w:tc>
        <w:tc>
          <w:tcPr>
            <w:tcW w:w="1141" w:type="pct"/>
          </w:tcPr>
          <w:p w14:paraId="3F4AC53E" w14:textId="77777777" w:rsidR="00254D2D" w:rsidRPr="0026581F" w:rsidRDefault="00254D2D" w:rsidP="00355749">
            <w:pPr>
              <w:jc w:val="both"/>
              <w:rPr>
                <w:rFonts w:eastAsia="Calibri"/>
                <w:sz w:val="20"/>
                <w:szCs w:val="18"/>
              </w:rPr>
            </w:pPr>
          </w:p>
        </w:tc>
      </w:tr>
      <w:tr w:rsidR="00254D2D" w:rsidRPr="0026581F" w14:paraId="6108F250" w14:textId="77777777" w:rsidTr="00355749">
        <w:tc>
          <w:tcPr>
            <w:tcW w:w="1242" w:type="pct"/>
            <w:shd w:val="clear" w:color="auto" w:fill="BFBFBF"/>
          </w:tcPr>
          <w:p w14:paraId="1D7AED40" w14:textId="77777777" w:rsidR="00254D2D" w:rsidRPr="0026581F" w:rsidRDefault="00254D2D" w:rsidP="00355749">
            <w:pPr>
              <w:rPr>
                <w:rFonts w:eastAsia="Calibri"/>
                <w:sz w:val="18"/>
                <w:szCs w:val="16"/>
                <w:lang w:val="en-GB"/>
              </w:rPr>
            </w:pPr>
            <w:r w:rsidRPr="0026581F">
              <w:rPr>
                <w:rFonts w:eastAsia="Calibri"/>
                <w:sz w:val="18"/>
                <w:szCs w:val="16"/>
                <w:lang w:val="en-GB"/>
              </w:rPr>
              <w:t xml:space="preserve">Management </w:t>
            </w:r>
            <w:r>
              <w:rPr>
                <w:rFonts w:eastAsia="Calibri"/>
                <w:sz w:val="18"/>
                <w:szCs w:val="16"/>
                <w:lang w:val="en-GB"/>
              </w:rPr>
              <w:t>Companies</w:t>
            </w:r>
          </w:p>
        </w:tc>
        <w:tc>
          <w:tcPr>
            <w:tcW w:w="1003" w:type="pct"/>
            <w:shd w:val="clear" w:color="auto" w:fill="BFBFBF"/>
          </w:tcPr>
          <w:p w14:paraId="0FEC71F7" w14:textId="47D56C5B" w:rsidR="00254D2D" w:rsidRPr="0052201E" w:rsidRDefault="00254D2D" w:rsidP="00355749">
            <w:pPr>
              <w:rPr>
                <w:rFonts w:eastAsia="Calibri"/>
                <w:sz w:val="18"/>
                <w:szCs w:val="16"/>
                <w:lang w:val="en-GB"/>
              </w:rPr>
            </w:pPr>
            <w:r w:rsidRPr="0052201E">
              <w:rPr>
                <w:rFonts w:eastAsia="Calibri"/>
                <w:sz w:val="18"/>
                <w:szCs w:val="16"/>
                <w:lang w:val="en-GB"/>
              </w:rPr>
              <w:t xml:space="preserve">RB Part II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1</w:t>
            </w:r>
            <w:r w:rsidRPr="0052201E">
              <w:rPr>
                <w:rFonts w:eastAsia="Calibri"/>
                <w:sz w:val="18"/>
                <w:szCs w:val="16"/>
                <w:lang w:val="en-GB"/>
              </w:rPr>
              <w:t>.4.3</w:t>
            </w:r>
          </w:p>
        </w:tc>
        <w:tc>
          <w:tcPr>
            <w:tcW w:w="508" w:type="pct"/>
            <w:shd w:val="clear" w:color="auto" w:fill="FFFFFF"/>
          </w:tcPr>
          <w:p w14:paraId="7CDCCFAB" w14:textId="77777777" w:rsidR="00254D2D" w:rsidRPr="0026581F" w:rsidRDefault="00254D2D" w:rsidP="00355749">
            <w:pPr>
              <w:jc w:val="center"/>
              <w:rPr>
                <w:rFonts w:eastAsia="Calibri"/>
                <w:sz w:val="20"/>
                <w:szCs w:val="18"/>
                <w:lang w:val="en-GB"/>
              </w:rPr>
            </w:pPr>
          </w:p>
        </w:tc>
        <w:tc>
          <w:tcPr>
            <w:tcW w:w="522" w:type="pct"/>
            <w:shd w:val="clear" w:color="auto" w:fill="D9D9D9"/>
          </w:tcPr>
          <w:p w14:paraId="3E17C324" w14:textId="77777777" w:rsidR="00254D2D" w:rsidRPr="0026581F" w:rsidRDefault="00254D2D" w:rsidP="00355749">
            <w:pPr>
              <w:rPr>
                <w:rFonts w:eastAsia="Calibri"/>
                <w:sz w:val="20"/>
                <w:szCs w:val="18"/>
                <w:lang w:val="en-GB"/>
              </w:rPr>
            </w:pPr>
          </w:p>
        </w:tc>
        <w:tc>
          <w:tcPr>
            <w:tcW w:w="584" w:type="pct"/>
            <w:shd w:val="pct15" w:color="auto" w:fill="auto"/>
          </w:tcPr>
          <w:p w14:paraId="30A604D6" w14:textId="77777777" w:rsidR="00254D2D" w:rsidRPr="0026581F" w:rsidRDefault="00254D2D" w:rsidP="00355749">
            <w:pPr>
              <w:rPr>
                <w:rFonts w:eastAsia="Calibri"/>
                <w:sz w:val="20"/>
                <w:szCs w:val="18"/>
                <w:lang w:val="en-GB"/>
              </w:rPr>
            </w:pPr>
          </w:p>
        </w:tc>
        <w:tc>
          <w:tcPr>
            <w:tcW w:w="1141" w:type="pct"/>
          </w:tcPr>
          <w:p w14:paraId="6C144787" w14:textId="77777777" w:rsidR="00254D2D" w:rsidRPr="0026581F" w:rsidRDefault="00254D2D" w:rsidP="00355749">
            <w:pPr>
              <w:jc w:val="both"/>
              <w:rPr>
                <w:rFonts w:eastAsia="Calibri"/>
                <w:sz w:val="20"/>
                <w:szCs w:val="18"/>
                <w:lang w:val="en-GB"/>
              </w:rPr>
            </w:pPr>
          </w:p>
        </w:tc>
      </w:tr>
      <w:tr w:rsidR="00254D2D" w:rsidRPr="004D6E16" w14:paraId="7E60D04A" w14:textId="77777777" w:rsidTr="00355749">
        <w:tc>
          <w:tcPr>
            <w:tcW w:w="5000" w:type="pct"/>
            <w:gridSpan w:val="6"/>
            <w:shd w:val="clear" w:color="auto" w:fill="A6A6A6"/>
          </w:tcPr>
          <w:p w14:paraId="2F44D309" w14:textId="77777777" w:rsidR="00254D2D" w:rsidRPr="0052201E" w:rsidRDefault="00254D2D" w:rsidP="00355749">
            <w:pPr>
              <w:jc w:val="center"/>
              <w:rPr>
                <w:rFonts w:eastAsia="Calibri"/>
                <w:b/>
                <w:sz w:val="20"/>
                <w:szCs w:val="18"/>
                <w:lang w:val="en-GB"/>
              </w:rPr>
            </w:pPr>
            <w:r w:rsidRPr="0052201E">
              <w:rPr>
                <w:rFonts w:eastAsia="Calibri"/>
                <w:b/>
                <w:sz w:val="20"/>
                <w:szCs w:val="18"/>
                <w:lang w:val="en-GB"/>
              </w:rPr>
              <w:t>Shares</w:t>
            </w:r>
          </w:p>
        </w:tc>
      </w:tr>
      <w:tr w:rsidR="00254D2D" w:rsidRPr="00706E66" w14:paraId="04917BB0" w14:textId="77777777" w:rsidTr="00355749">
        <w:tc>
          <w:tcPr>
            <w:tcW w:w="1242" w:type="pct"/>
            <w:shd w:val="clear" w:color="auto" w:fill="BFBFBF"/>
          </w:tcPr>
          <w:p w14:paraId="6323A6C9" w14:textId="77777777" w:rsidR="00254D2D" w:rsidRPr="0026581F" w:rsidRDefault="00254D2D" w:rsidP="00355749">
            <w:pPr>
              <w:rPr>
                <w:rFonts w:eastAsia="Calibri"/>
                <w:sz w:val="18"/>
                <w:szCs w:val="16"/>
                <w:lang w:val="en-GB"/>
              </w:rPr>
            </w:pPr>
            <w:r w:rsidRPr="00944D34">
              <w:rPr>
                <w:rFonts w:eastAsia="Calibri"/>
                <w:sz w:val="18"/>
                <w:szCs w:val="16"/>
                <w:lang w:val="en-GB"/>
              </w:rPr>
              <w:t>Public Offer / Private Placement / Direct Admission</w:t>
            </w:r>
          </w:p>
        </w:tc>
        <w:tc>
          <w:tcPr>
            <w:tcW w:w="1003" w:type="pct"/>
            <w:shd w:val="clear" w:color="auto" w:fill="BFBFBF"/>
          </w:tcPr>
          <w:p w14:paraId="69C24941" w14:textId="737C12C4" w:rsidR="00254D2D" w:rsidRPr="0052201E" w:rsidRDefault="00254D2D" w:rsidP="00355749">
            <w:pPr>
              <w:rPr>
                <w:rFonts w:eastAsia="Calibri"/>
                <w:sz w:val="18"/>
                <w:szCs w:val="16"/>
                <w:lang w:val="en-US"/>
              </w:rPr>
            </w:pPr>
            <w:r w:rsidRPr="0052201E">
              <w:rPr>
                <w:rFonts w:eastAsia="Calibri"/>
                <w:sz w:val="18"/>
                <w:szCs w:val="16"/>
                <w:lang w:val="en-US"/>
              </w:rPr>
              <w:t xml:space="preserve">RB Part I 3.2.1, RB Part II </w:t>
            </w:r>
            <w:r w:rsidR="00C73C26" w:rsidRPr="0052201E">
              <w:rPr>
                <w:rFonts w:eastAsia="Calibri"/>
                <w:sz w:val="18"/>
                <w:szCs w:val="16"/>
                <w:lang w:val="en-US"/>
              </w:rPr>
              <w:t>2</w:t>
            </w:r>
            <w:r w:rsidRPr="0052201E">
              <w:rPr>
                <w:rFonts w:eastAsia="Calibri"/>
                <w:sz w:val="18"/>
                <w:szCs w:val="16"/>
                <w:lang w:val="en-US"/>
              </w:rPr>
              <w:t>.</w:t>
            </w:r>
            <w:r w:rsidR="00C73C26" w:rsidRPr="0052201E">
              <w:rPr>
                <w:rFonts w:eastAsia="Calibri"/>
                <w:sz w:val="18"/>
                <w:szCs w:val="16"/>
                <w:lang w:val="en-US"/>
              </w:rPr>
              <w:t>1</w:t>
            </w:r>
            <w:r w:rsidRPr="0052201E">
              <w:rPr>
                <w:rFonts w:eastAsia="Calibri"/>
                <w:sz w:val="18"/>
                <w:szCs w:val="16"/>
                <w:lang w:val="en-US"/>
              </w:rPr>
              <w:t>.5.1</w:t>
            </w:r>
          </w:p>
        </w:tc>
        <w:tc>
          <w:tcPr>
            <w:tcW w:w="508" w:type="pct"/>
            <w:shd w:val="clear" w:color="auto" w:fill="FFFFFF"/>
          </w:tcPr>
          <w:p w14:paraId="5D813374" w14:textId="77777777" w:rsidR="00254D2D" w:rsidRPr="005804E3" w:rsidRDefault="00254D2D" w:rsidP="00355749">
            <w:pPr>
              <w:jc w:val="center"/>
              <w:rPr>
                <w:rFonts w:eastAsia="Calibri"/>
                <w:sz w:val="20"/>
                <w:szCs w:val="18"/>
                <w:lang w:val="en-US"/>
              </w:rPr>
            </w:pPr>
          </w:p>
        </w:tc>
        <w:tc>
          <w:tcPr>
            <w:tcW w:w="522" w:type="pct"/>
            <w:shd w:val="clear" w:color="auto" w:fill="FFFFFF" w:themeFill="background1"/>
          </w:tcPr>
          <w:p w14:paraId="409FD81C" w14:textId="77777777" w:rsidR="00254D2D" w:rsidRPr="005804E3" w:rsidRDefault="00254D2D" w:rsidP="00355749">
            <w:pPr>
              <w:jc w:val="center"/>
              <w:rPr>
                <w:rFonts w:eastAsia="Calibri"/>
                <w:sz w:val="20"/>
                <w:szCs w:val="18"/>
                <w:lang w:val="en-US"/>
              </w:rPr>
            </w:pPr>
          </w:p>
        </w:tc>
        <w:tc>
          <w:tcPr>
            <w:tcW w:w="584" w:type="pct"/>
            <w:shd w:val="clear" w:color="auto" w:fill="FFFFFF" w:themeFill="background1"/>
          </w:tcPr>
          <w:p w14:paraId="4F328463" w14:textId="77777777" w:rsidR="00254D2D" w:rsidRPr="005804E3" w:rsidRDefault="00254D2D" w:rsidP="00355749">
            <w:pPr>
              <w:jc w:val="center"/>
              <w:rPr>
                <w:rFonts w:eastAsia="Calibri"/>
                <w:sz w:val="20"/>
                <w:szCs w:val="18"/>
                <w:lang w:val="en-US"/>
              </w:rPr>
            </w:pPr>
          </w:p>
        </w:tc>
        <w:tc>
          <w:tcPr>
            <w:tcW w:w="1141" w:type="pct"/>
          </w:tcPr>
          <w:p w14:paraId="600D981D" w14:textId="77777777" w:rsidR="00254D2D" w:rsidRPr="005804E3" w:rsidRDefault="00254D2D" w:rsidP="00355749">
            <w:pPr>
              <w:jc w:val="both"/>
              <w:rPr>
                <w:rFonts w:eastAsia="Calibri"/>
                <w:sz w:val="20"/>
                <w:szCs w:val="18"/>
                <w:lang w:val="en-US"/>
              </w:rPr>
            </w:pPr>
          </w:p>
        </w:tc>
      </w:tr>
      <w:tr w:rsidR="00254D2D" w:rsidRPr="0026581F" w14:paraId="64D69084" w14:textId="77777777" w:rsidTr="00355749">
        <w:tc>
          <w:tcPr>
            <w:tcW w:w="1242" w:type="pct"/>
            <w:shd w:val="clear" w:color="auto" w:fill="BFBFBF"/>
          </w:tcPr>
          <w:p w14:paraId="5C42B8AC" w14:textId="77777777" w:rsidR="00254D2D" w:rsidRPr="00BE1318" w:rsidRDefault="00254D2D" w:rsidP="00355749">
            <w:pPr>
              <w:rPr>
                <w:rFonts w:eastAsia="Calibri"/>
                <w:sz w:val="18"/>
                <w:szCs w:val="16"/>
                <w:highlight w:val="yellow"/>
                <w:lang w:val="en-GB"/>
              </w:rPr>
            </w:pPr>
            <w:r w:rsidRPr="00BE1318">
              <w:rPr>
                <w:rFonts w:eastAsia="Calibri"/>
                <w:sz w:val="18"/>
                <w:szCs w:val="16"/>
                <w:lang w:val="en-GB"/>
              </w:rPr>
              <w:t>15% spread of Share ownership</w:t>
            </w:r>
          </w:p>
        </w:tc>
        <w:tc>
          <w:tcPr>
            <w:tcW w:w="1003" w:type="pct"/>
            <w:shd w:val="clear" w:color="auto" w:fill="BFBFBF"/>
          </w:tcPr>
          <w:p w14:paraId="06B37EFF" w14:textId="542A77D0" w:rsidR="00254D2D" w:rsidRPr="0052201E" w:rsidRDefault="00254D2D" w:rsidP="00355749">
            <w:pPr>
              <w:rPr>
                <w:rFonts w:eastAsia="Calibri"/>
                <w:sz w:val="18"/>
                <w:szCs w:val="16"/>
                <w:lang w:val="en-GB"/>
              </w:rPr>
            </w:pPr>
            <w:r w:rsidRPr="0052201E">
              <w:rPr>
                <w:rFonts w:eastAsia="Calibri"/>
                <w:sz w:val="18"/>
                <w:szCs w:val="16"/>
                <w:lang w:val="en-GB"/>
              </w:rPr>
              <w:t xml:space="preserve">RB Part II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1</w:t>
            </w:r>
            <w:r w:rsidRPr="0052201E">
              <w:rPr>
                <w:rFonts w:eastAsia="Calibri"/>
                <w:sz w:val="18"/>
                <w:szCs w:val="16"/>
                <w:lang w:val="en-GB"/>
              </w:rPr>
              <w:t>.5.2</w:t>
            </w:r>
          </w:p>
        </w:tc>
        <w:tc>
          <w:tcPr>
            <w:tcW w:w="508" w:type="pct"/>
            <w:shd w:val="clear" w:color="auto" w:fill="FFFFFF"/>
          </w:tcPr>
          <w:p w14:paraId="2F1BAE51" w14:textId="77777777" w:rsidR="00254D2D" w:rsidRPr="0026581F" w:rsidRDefault="00254D2D" w:rsidP="00355749">
            <w:pPr>
              <w:jc w:val="center"/>
              <w:rPr>
                <w:rFonts w:eastAsia="Calibri"/>
                <w:sz w:val="20"/>
                <w:szCs w:val="18"/>
                <w:lang w:val="en-GB"/>
              </w:rPr>
            </w:pPr>
          </w:p>
        </w:tc>
        <w:tc>
          <w:tcPr>
            <w:tcW w:w="522" w:type="pct"/>
            <w:shd w:val="clear" w:color="auto" w:fill="FFFFFF" w:themeFill="background1"/>
          </w:tcPr>
          <w:p w14:paraId="53FB1D4F" w14:textId="77777777" w:rsidR="00254D2D" w:rsidRPr="0026581F" w:rsidRDefault="00254D2D" w:rsidP="00355749">
            <w:pPr>
              <w:jc w:val="center"/>
              <w:rPr>
                <w:rFonts w:eastAsia="Calibri"/>
                <w:sz w:val="20"/>
                <w:szCs w:val="18"/>
                <w:lang w:val="en-GB"/>
              </w:rPr>
            </w:pPr>
          </w:p>
        </w:tc>
        <w:tc>
          <w:tcPr>
            <w:tcW w:w="584" w:type="pct"/>
            <w:shd w:val="clear" w:color="auto" w:fill="FFFFFF" w:themeFill="background1"/>
          </w:tcPr>
          <w:p w14:paraId="63A04F44" w14:textId="77777777" w:rsidR="00254D2D" w:rsidRPr="0026581F" w:rsidRDefault="00254D2D" w:rsidP="00355749">
            <w:pPr>
              <w:jc w:val="center"/>
              <w:rPr>
                <w:rFonts w:eastAsia="Calibri"/>
                <w:sz w:val="20"/>
                <w:szCs w:val="18"/>
                <w:lang w:val="en-GB"/>
              </w:rPr>
            </w:pPr>
          </w:p>
        </w:tc>
        <w:tc>
          <w:tcPr>
            <w:tcW w:w="1141" w:type="pct"/>
          </w:tcPr>
          <w:p w14:paraId="180DCF4E" w14:textId="77777777" w:rsidR="00254D2D" w:rsidRPr="0026581F" w:rsidRDefault="00254D2D" w:rsidP="00355749">
            <w:pPr>
              <w:jc w:val="both"/>
              <w:rPr>
                <w:rFonts w:eastAsia="Calibri"/>
                <w:sz w:val="20"/>
                <w:szCs w:val="18"/>
                <w:lang w:val="en-GB"/>
              </w:rPr>
            </w:pPr>
          </w:p>
        </w:tc>
      </w:tr>
      <w:tr w:rsidR="00254D2D" w:rsidRPr="0026581F" w14:paraId="5D3668D1" w14:textId="77777777" w:rsidTr="00355749">
        <w:tc>
          <w:tcPr>
            <w:tcW w:w="1242" w:type="pct"/>
            <w:shd w:val="clear" w:color="auto" w:fill="BFBFBF"/>
          </w:tcPr>
          <w:p w14:paraId="1673061A" w14:textId="77777777" w:rsidR="00254D2D" w:rsidRPr="0026581F" w:rsidRDefault="00254D2D" w:rsidP="00355749">
            <w:pPr>
              <w:rPr>
                <w:rFonts w:eastAsia="Calibri"/>
                <w:sz w:val="18"/>
                <w:szCs w:val="16"/>
                <w:lang w:val="en-GB"/>
              </w:rPr>
            </w:pPr>
            <w:r w:rsidRPr="0055447D">
              <w:rPr>
                <w:rFonts w:eastAsia="Calibri"/>
                <w:sz w:val="18"/>
                <w:szCs w:val="16"/>
                <w:lang w:val="en-GB"/>
              </w:rPr>
              <w:t xml:space="preserve">Number of relevant share-holders </w:t>
            </w:r>
          </w:p>
        </w:tc>
        <w:tc>
          <w:tcPr>
            <w:tcW w:w="1003" w:type="pct"/>
            <w:shd w:val="clear" w:color="auto" w:fill="BFBFBF"/>
          </w:tcPr>
          <w:p w14:paraId="55BDC75F" w14:textId="7BCD3113" w:rsidR="00254D2D" w:rsidRPr="0052201E" w:rsidRDefault="00254D2D" w:rsidP="00355749">
            <w:pPr>
              <w:rPr>
                <w:rFonts w:eastAsia="Calibri"/>
                <w:sz w:val="18"/>
                <w:szCs w:val="16"/>
                <w:lang w:val="en-GB"/>
              </w:rPr>
            </w:pPr>
            <w:r w:rsidRPr="0052201E">
              <w:rPr>
                <w:rFonts w:eastAsia="Calibri"/>
                <w:sz w:val="18"/>
                <w:szCs w:val="16"/>
                <w:lang w:val="en-GB"/>
              </w:rPr>
              <w:t xml:space="preserve">RB Part II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1</w:t>
            </w:r>
            <w:r w:rsidRPr="0052201E">
              <w:rPr>
                <w:rFonts w:eastAsia="Calibri"/>
                <w:sz w:val="18"/>
                <w:szCs w:val="16"/>
                <w:lang w:val="en-GB"/>
              </w:rPr>
              <w:t>.5.3</w:t>
            </w:r>
          </w:p>
        </w:tc>
        <w:tc>
          <w:tcPr>
            <w:tcW w:w="508" w:type="pct"/>
            <w:shd w:val="clear" w:color="auto" w:fill="FFFFFF"/>
          </w:tcPr>
          <w:p w14:paraId="6C965CA1" w14:textId="77777777" w:rsidR="00254D2D" w:rsidRPr="0026581F" w:rsidRDefault="00254D2D" w:rsidP="00355749">
            <w:pPr>
              <w:jc w:val="center"/>
              <w:rPr>
                <w:rFonts w:eastAsia="Calibri"/>
                <w:sz w:val="20"/>
                <w:szCs w:val="18"/>
                <w:lang w:val="en-GB"/>
              </w:rPr>
            </w:pPr>
          </w:p>
        </w:tc>
        <w:tc>
          <w:tcPr>
            <w:tcW w:w="522" w:type="pct"/>
            <w:shd w:val="clear" w:color="auto" w:fill="D9D9D9" w:themeFill="background1" w:themeFillShade="D9"/>
          </w:tcPr>
          <w:p w14:paraId="5F6C7383" w14:textId="77777777" w:rsidR="00254D2D" w:rsidRPr="0026581F" w:rsidRDefault="00254D2D" w:rsidP="00355749">
            <w:pPr>
              <w:rPr>
                <w:rFonts w:eastAsia="Calibri"/>
                <w:sz w:val="20"/>
                <w:szCs w:val="18"/>
                <w:lang w:val="en-GB"/>
              </w:rPr>
            </w:pPr>
          </w:p>
        </w:tc>
        <w:tc>
          <w:tcPr>
            <w:tcW w:w="584" w:type="pct"/>
            <w:shd w:val="clear" w:color="auto" w:fill="FFFFFF" w:themeFill="background1"/>
          </w:tcPr>
          <w:p w14:paraId="5E985F80" w14:textId="77777777" w:rsidR="00254D2D" w:rsidRPr="0026581F" w:rsidRDefault="00254D2D" w:rsidP="00355749">
            <w:pPr>
              <w:jc w:val="center"/>
              <w:rPr>
                <w:rFonts w:eastAsia="Calibri"/>
                <w:sz w:val="20"/>
                <w:szCs w:val="18"/>
                <w:lang w:val="en-GB"/>
              </w:rPr>
            </w:pPr>
          </w:p>
        </w:tc>
        <w:tc>
          <w:tcPr>
            <w:tcW w:w="1141" w:type="pct"/>
          </w:tcPr>
          <w:p w14:paraId="16949575" w14:textId="77777777" w:rsidR="00254D2D" w:rsidRPr="0026581F" w:rsidRDefault="00254D2D" w:rsidP="00355749">
            <w:pPr>
              <w:jc w:val="both"/>
              <w:rPr>
                <w:rFonts w:eastAsia="Calibri"/>
                <w:sz w:val="20"/>
                <w:szCs w:val="18"/>
                <w:lang w:val="en-GB"/>
              </w:rPr>
            </w:pPr>
          </w:p>
        </w:tc>
      </w:tr>
      <w:tr w:rsidR="00254D2D" w:rsidRPr="00706E66" w14:paraId="50DC9D40" w14:textId="77777777" w:rsidTr="00355749">
        <w:tc>
          <w:tcPr>
            <w:tcW w:w="1242" w:type="pct"/>
            <w:shd w:val="clear" w:color="auto" w:fill="BFBFBF"/>
          </w:tcPr>
          <w:p w14:paraId="0B60066D" w14:textId="77777777" w:rsidR="00254D2D" w:rsidRPr="0026581F" w:rsidRDefault="00254D2D" w:rsidP="00355749">
            <w:pPr>
              <w:rPr>
                <w:rFonts w:eastAsia="Calibri"/>
                <w:sz w:val="18"/>
                <w:szCs w:val="16"/>
                <w:lang w:val="en-GB"/>
              </w:rPr>
            </w:pPr>
            <w:r w:rsidRPr="0026581F">
              <w:rPr>
                <w:rFonts w:eastAsia="Calibri"/>
                <w:sz w:val="18"/>
                <w:szCs w:val="16"/>
                <w:lang w:val="en-GB"/>
              </w:rPr>
              <w:t xml:space="preserve">Other requirements for </w:t>
            </w:r>
            <w:r>
              <w:rPr>
                <w:rFonts w:eastAsia="Calibri"/>
                <w:sz w:val="18"/>
                <w:szCs w:val="16"/>
                <w:lang w:val="en-GB"/>
              </w:rPr>
              <w:t>S</w:t>
            </w:r>
            <w:r w:rsidRPr="0026581F">
              <w:rPr>
                <w:rFonts w:eastAsia="Calibri"/>
                <w:sz w:val="18"/>
                <w:szCs w:val="16"/>
                <w:lang w:val="en-GB"/>
              </w:rPr>
              <w:t>hares</w:t>
            </w:r>
          </w:p>
        </w:tc>
        <w:tc>
          <w:tcPr>
            <w:tcW w:w="1003" w:type="pct"/>
            <w:shd w:val="clear" w:color="auto" w:fill="BFBFBF"/>
          </w:tcPr>
          <w:p w14:paraId="7DE337AB" w14:textId="72E5453B" w:rsidR="00254D2D" w:rsidRPr="0052201E" w:rsidRDefault="00254D2D" w:rsidP="00355749">
            <w:pPr>
              <w:rPr>
                <w:rFonts w:eastAsia="Calibri"/>
                <w:sz w:val="18"/>
                <w:szCs w:val="16"/>
                <w:lang w:val="en-US"/>
              </w:rPr>
            </w:pPr>
            <w:r w:rsidRPr="0052201E">
              <w:rPr>
                <w:rFonts w:eastAsia="Calibri"/>
                <w:sz w:val="18"/>
                <w:szCs w:val="16"/>
                <w:lang w:val="en-US"/>
              </w:rPr>
              <w:t>RB Part I 3.1.4</w:t>
            </w:r>
            <w:r w:rsidR="00D644E8">
              <w:rPr>
                <w:rFonts w:eastAsia="Calibri"/>
                <w:sz w:val="18"/>
                <w:szCs w:val="16"/>
                <w:lang w:val="en-US"/>
              </w:rPr>
              <w:t xml:space="preserve"> – 3.1.6</w:t>
            </w:r>
            <w:r w:rsidRPr="0052201E">
              <w:rPr>
                <w:rFonts w:eastAsia="Calibri"/>
                <w:sz w:val="18"/>
                <w:szCs w:val="16"/>
                <w:lang w:val="en-US"/>
              </w:rPr>
              <w:t xml:space="preserve"> + 3.1.11, RB Part II </w:t>
            </w:r>
            <w:r w:rsidR="00C73C26" w:rsidRPr="0052201E">
              <w:rPr>
                <w:rFonts w:eastAsia="Calibri"/>
                <w:sz w:val="18"/>
                <w:szCs w:val="16"/>
                <w:lang w:val="en-US"/>
              </w:rPr>
              <w:t>2</w:t>
            </w:r>
            <w:r w:rsidRPr="0052201E">
              <w:rPr>
                <w:rFonts w:eastAsia="Calibri"/>
                <w:sz w:val="18"/>
                <w:szCs w:val="16"/>
                <w:lang w:val="en-US"/>
              </w:rPr>
              <w:t>.</w:t>
            </w:r>
            <w:r w:rsidR="00C73C26" w:rsidRPr="0052201E">
              <w:rPr>
                <w:rFonts w:eastAsia="Calibri"/>
                <w:sz w:val="18"/>
                <w:szCs w:val="16"/>
                <w:lang w:val="en-US"/>
              </w:rPr>
              <w:t>1</w:t>
            </w:r>
            <w:r w:rsidRPr="0052201E">
              <w:rPr>
                <w:rFonts w:eastAsia="Calibri"/>
                <w:sz w:val="18"/>
                <w:szCs w:val="16"/>
                <w:lang w:val="en-US"/>
              </w:rPr>
              <w:t xml:space="preserve">.5.4 – </w:t>
            </w:r>
            <w:r w:rsidR="00C73C26" w:rsidRPr="0052201E">
              <w:rPr>
                <w:rFonts w:eastAsia="Calibri"/>
                <w:sz w:val="18"/>
                <w:szCs w:val="16"/>
                <w:lang w:val="en-US"/>
              </w:rPr>
              <w:t>2</w:t>
            </w:r>
            <w:r w:rsidRPr="0052201E">
              <w:rPr>
                <w:rFonts w:eastAsia="Calibri"/>
                <w:sz w:val="18"/>
                <w:szCs w:val="16"/>
                <w:lang w:val="en-US"/>
              </w:rPr>
              <w:t>.</w:t>
            </w:r>
            <w:r w:rsidR="00C73C26" w:rsidRPr="0052201E">
              <w:rPr>
                <w:rFonts w:eastAsia="Calibri"/>
                <w:sz w:val="18"/>
                <w:szCs w:val="16"/>
                <w:lang w:val="en-US"/>
              </w:rPr>
              <w:t>1</w:t>
            </w:r>
            <w:r w:rsidRPr="0052201E">
              <w:rPr>
                <w:rFonts w:eastAsia="Calibri"/>
                <w:sz w:val="18"/>
                <w:szCs w:val="16"/>
                <w:lang w:val="en-US"/>
              </w:rPr>
              <w:t>.5.7</w:t>
            </w:r>
          </w:p>
        </w:tc>
        <w:tc>
          <w:tcPr>
            <w:tcW w:w="508" w:type="pct"/>
            <w:shd w:val="clear" w:color="auto" w:fill="FFFFFF" w:themeFill="background1"/>
          </w:tcPr>
          <w:p w14:paraId="10DBA48B" w14:textId="77777777" w:rsidR="00254D2D" w:rsidRPr="005804E3" w:rsidRDefault="00254D2D" w:rsidP="00355749">
            <w:pPr>
              <w:jc w:val="center"/>
              <w:rPr>
                <w:rFonts w:eastAsia="Calibri"/>
                <w:sz w:val="20"/>
                <w:szCs w:val="18"/>
                <w:lang w:val="en-US"/>
              </w:rPr>
            </w:pPr>
          </w:p>
        </w:tc>
        <w:tc>
          <w:tcPr>
            <w:tcW w:w="522" w:type="pct"/>
            <w:shd w:val="clear" w:color="auto" w:fill="FFFFFF" w:themeFill="background1"/>
          </w:tcPr>
          <w:p w14:paraId="55442111" w14:textId="77777777" w:rsidR="00254D2D" w:rsidRPr="005804E3" w:rsidRDefault="00254D2D" w:rsidP="00355749">
            <w:pPr>
              <w:rPr>
                <w:rFonts w:eastAsia="Calibri"/>
                <w:sz w:val="20"/>
                <w:szCs w:val="18"/>
                <w:lang w:val="en-US"/>
              </w:rPr>
            </w:pPr>
          </w:p>
        </w:tc>
        <w:tc>
          <w:tcPr>
            <w:tcW w:w="584" w:type="pct"/>
            <w:shd w:val="clear" w:color="auto" w:fill="D9D9D9" w:themeFill="background1" w:themeFillShade="D9"/>
          </w:tcPr>
          <w:p w14:paraId="31B56856" w14:textId="77777777" w:rsidR="00254D2D" w:rsidRPr="005804E3" w:rsidRDefault="00254D2D" w:rsidP="00355749">
            <w:pPr>
              <w:rPr>
                <w:rFonts w:eastAsia="Calibri"/>
                <w:sz w:val="20"/>
                <w:szCs w:val="18"/>
                <w:lang w:val="en-US"/>
              </w:rPr>
            </w:pPr>
          </w:p>
        </w:tc>
        <w:tc>
          <w:tcPr>
            <w:tcW w:w="1141" w:type="pct"/>
          </w:tcPr>
          <w:p w14:paraId="177078F2" w14:textId="77777777" w:rsidR="00254D2D" w:rsidRPr="005804E3" w:rsidRDefault="00254D2D" w:rsidP="00355749">
            <w:pPr>
              <w:jc w:val="both"/>
              <w:rPr>
                <w:rFonts w:eastAsia="Calibri"/>
                <w:sz w:val="20"/>
                <w:szCs w:val="18"/>
                <w:lang w:val="en-US"/>
              </w:rPr>
            </w:pPr>
          </w:p>
        </w:tc>
      </w:tr>
      <w:tr w:rsidR="00254D2D" w:rsidRPr="0026581F" w14:paraId="495C7C29" w14:textId="77777777" w:rsidTr="00355749">
        <w:tc>
          <w:tcPr>
            <w:tcW w:w="5000" w:type="pct"/>
            <w:gridSpan w:val="6"/>
            <w:shd w:val="clear" w:color="auto" w:fill="A6A6A6"/>
          </w:tcPr>
          <w:p w14:paraId="3A898913" w14:textId="77777777" w:rsidR="00254D2D" w:rsidRPr="00E44402" w:rsidRDefault="00254D2D" w:rsidP="00355749">
            <w:pPr>
              <w:jc w:val="center"/>
              <w:rPr>
                <w:rFonts w:eastAsia="Calibri"/>
                <w:b/>
                <w:sz w:val="20"/>
                <w:szCs w:val="18"/>
                <w:lang w:val="en-GB"/>
              </w:rPr>
            </w:pPr>
            <w:r w:rsidRPr="00E44402">
              <w:rPr>
                <w:rFonts w:eastAsia="Calibri"/>
                <w:b/>
                <w:sz w:val="20"/>
                <w:szCs w:val="18"/>
                <w:lang w:val="en-GB"/>
              </w:rPr>
              <w:t>General conditions</w:t>
            </w:r>
          </w:p>
        </w:tc>
      </w:tr>
      <w:tr w:rsidR="00254D2D" w:rsidRPr="0026581F" w14:paraId="01167C76" w14:textId="77777777" w:rsidTr="00355749">
        <w:tc>
          <w:tcPr>
            <w:tcW w:w="1242" w:type="pct"/>
            <w:shd w:val="clear" w:color="auto" w:fill="BFBFBF"/>
          </w:tcPr>
          <w:p w14:paraId="7C141E10" w14:textId="77777777" w:rsidR="00254D2D" w:rsidRPr="0026581F" w:rsidRDefault="00254D2D" w:rsidP="00355749">
            <w:pPr>
              <w:rPr>
                <w:rFonts w:eastAsia="Calibri"/>
                <w:sz w:val="18"/>
                <w:szCs w:val="16"/>
                <w:lang w:val="en-GB"/>
              </w:rPr>
            </w:pPr>
            <w:r>
              <w:rPr>
                <w:rFonts w:eastAsia="Calibri"/>
                <w:sz w:val="18"/>
                <w:szCs w:val="16"/>
                <w:lang w:val="en-GB"/>
              </w:rPr>
              <w:t>Legal standing of the Issuer</w:t>
            </w:r>
          </w:p>
        </w:tc>
        <w:tc>
          <w:tcPr>
            <w:tcW w:w="1003" w:type="pct"/>
            <w:shd w:val="clear" w:color="auto" w:fill="BFBFBF"/>
          </w:tcPr>
          <w:p w14:paraId="2AD23E9B" w14:textId="77777777" w:rsidR="00254D2D" w:rsidRPr="0052201E" w:rsidRDefault="00254D2D" w:rsidP="00355749">
            <w:pPr>
              <w:rPr>
                <w:rFonts w:eastAsia="Calibri"/>
                <w:sz w:val="18"/>
                <w:szCs w:val="16"/>
                <w:lang w:val="en-GB"/>
              </w:rPr>
            </w:pPr>
            <w:r w:rsidRPr="0052201E">
              <w:rPr>
                <w:rFonts w:eastAsia="Calibri"/>
                <w:sz w:val="18"/>
                <w:szCs w:val="16"/>
                <w:lang w:val="en-GB"/>
              </w:rPr>
              <w:t>RB Part I 3.1.3</w:t>
            </w:r>
          </w:p>
        </w:tc>
        <w:tc>
          <w:tcPr>
            <w:tcW w:w="508" w:type="pct"/>
            <w:shd w:val="clear" w:color="auto" w:fill="FFFFFF"/>
          </w:tcPr>
          <w:p w14:paraId="5EB87E46" w14:textId="77777777" w:rsidR="00254D2D" w:rsidRPr="0026581F" w:rsidRDefault="00254D2D" w:rsidP="00355749">
            <w:pPr>
              <w:jc w:val="center"/>
              <w:rPr>
                <w:rFonts w:eastAsia="Calibri"/>
                <w:sz w:val="20"/>
                <w:szCs w:val="18"/>
                <w:lang w:val="en-GB"/>
              </w:rPr>
            </w:pPr>
          </w:p>
        </w:tc>
        <w:tc>
          <w:tcPr>
            <w:tcW w:w="522" w:type="pct"/>
            <w:shd w:val="clear" w:color="auto" w:fill="D9D9D9"/>
          </w:tcPr>
          <w:p w14:paraId="66D12595" w14:textId="77777777" w:rsidR="00254D2D" w:rsidRPr="0026581F" w:rsidRDefault="00254D2D" w:rsidP="00355749">
            <w:pPr>
              <w:rPr>
                <w:rFonts w:eastAsia="Calibri"/>
                <w:sz w:val="20"/>
                <w:szCs w:val="18"/>
                <w:lang w:val="en-GB"/>
              </w:rPr>
            </w:pPr>
          </w:p>
        </w:tc>
        <w:tc>
          <w:tcPr>
            <w:tcW w:w="584" w:type="pct"/>
            <w:shd w:val="clear" w:color="auto" w:fill="D9D9D9"/>
          </w:tcPr>
          <w:p w14:paraId="009BC363" w14:textId="77777777" w:rsidR="00254D2D" w:rsidRPr="0026581F" w:rsidRDefault="00254D2D" w:rsidP="00355749">
            <w:pPr>
              <w:rPr>
                <w:rFonts w:eastAsia="Calibri"/>
                <w:sz w:val="20"/>
                <w:szCs w:val="18"/>
                <w:lang w:val="en-GB"/>
              </w:rPr>
            </w:pPr>
          </w:p>
        </w:tc>
        <w:tc>
          <w:tcPr>
            <w:tcW w:w="1141" w:type="pct"/>
          </w:tcPr>
          <w:p w14:paraId="72A362E9" w14:textId="77777777" w:rsidR="00254D2D" w:rsidRPr="0026581F" w:rsidRDefault="00254D2D" w:rsidP="00355749">
            <w:pPr>
              <w:jc w:val="both"/>
              <w:rPr>
                <w:rFonts w:eastAsia="Calibri"/>
                <w:sz w:val="20"/>
                <w:szCs w:val="18"/>
                <w:lang w:val="en-GB"/>
              </w:rPr>
            </w:pPr>
          </w:p>
        </w:tc>
      </w:tr>
      <w:tr w:rsidR="00254D2D" w:rsidRPr="0026581F" w14:paraId="2463DC1C" w14:textId="77777777" w:rsidTr="00355749">
        <w:tc>
          <w:tcPr>
            <w:tcW w:w="1242" w:type="pct"/>
            <w:shd w:val="clear" w:color="auto" w:fill="BFBFBF"/>
          </w:tcPr>
          <w:p w14:paraId="56B1649A" w14:textId="77777777" w:rsidR="00254D2D" w:rsidRPr="0026581F" w:rsidRDefault="00254D2D" w:rsidP="00355749">
            <w:pPr>
              <w:rPr>
                <w:rFonts w:eastAsia="Calibri"/>
                <w:sz w:val="18"/>
                <w:szCs w:val="16"/>
                <w:lang w:val="en-GB"/>
              </w:rPr>
            </w:pPr>
            <w:r>
              <w:rPr>
                <w:rFonts w:eastAsia="Calibri"/>
                <w:sz w:val="18"/>
                <w:szCs w:val="16"/>
                <w:lang w:val="en-GB"/>
              </w:rPr>
              <w:t>Due diligence</w:t>
            </w:r>
          </w:p>
        </w:tc>
        <w:tc>
          <w:tcPr>
            <w:tcW w:w="1003" w:type="pct"/>
            <w:shd w:val="clear" w:color="auto" w:fill="BFBFBF"/>
          </w:tcPr>
          <w:p w14:paraId="6E6D4874" w14:textId="331D1A74" w:rsidR="00254D2D" w:rsidRPr="0052201E" w:rsidRDefault="00254D2D" w:rsidP="00355749">
            <w:pPr>
              <w:rPr>
                <w:rFonts w:eastAsia="Calibri"/>
                <w:sz w:val="18"/>
                <w:szCs w:val="16"/>
                <w:lang w:val="en-GB"/>
              </w:rPr>
            </w:pPr>
            <w:r w:rsidRPr="0052201E">
              <w:rPr>
                <w:rFonts w:eastAsia="Calibri"/>
                <w:sz w:val="18"/>
                <w:szCs w:val="16"/>
                <w:lang w:val="en-GB"/>
              </w:rPr>
              <w:t xml:space="preserve">Notice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2</w:t>
            </w:r>
            <w:r w:rsidRPr="0052201E">
              <w:rPr>
                <w:rFonts w:eastAsia="Calibri"/>
                <w:sz w:val="18"/>
                <w:szCs w:val="16"/>
                <w:lang w:val="en-GB"/>
              </w:rPr>
              <w:t xml:space="preserve"> section 3</w:t>
            </w:r>
          </w:p>
        </w:tc>
        <w:tc>
          <w:tcPr>
            <w:tcW w:w="508" w:type="pct"/>
            <w:shd w:val="clear" w:color="auto" w:fill="FFFFFF" w:themeFill="background1"/>
          </w:tcPr>
          <w:p w14:paraId="71816DA5" w14:textId="77777777" w:rsidR="00254D2D" w:rsidRPr="0026581F" w:rsidRDefault="00254D2D" w:rsidP="00355749">
            <w:pPr>
              <w:jc w:val="center"/>
              <w:rPr>
                <w:rFonts w:eastAsia="Calibri"/>
                <w:sz w:val="20"/>
                <w:szCs w:val="18"/>
                <w:lang w:val="en-GB"/>
              </w:rPr>
            </w:pPr>
          </w:p>
        </w:tc>
        <w:tc>
          <w:tcPr>
            <w:tcW w:w="522" w:type="pct"/>
            <w:shd w:val="clear" w:color="auto" w:fill="FFFFFF" w:themeFill="background1"/>
          </w:tcPr>
          <w:p w14:paraId="0D58352D" w14:textId="77777777" w:rsidR="00254D2D" w:rsidRPr="0026581F" w:rsidRDefault="00254D2D" w:rsidP="00355749">
            <w:pPr>
              <w:rPr>
                <w:rFonts w:eastAsia="Calibri"/>
                <w:sz w:val="20"/>
                <w:szCs w:val="18"/>
                <w:lang w:val="en-GB"/>
              </w:rPr>
            </w:pPr>
          </w:p>
        </w:tc>
        <w:tc>
          <w:tcPr>
            <w:tcW w:w="584" w:type="pct"/>
            <w:shd w:val="clear" w:color="auto" w:fill="D9D9D9"/>
          </w:tcPr>
          <w:p w14:paraId="0BFCB7EC" w14:textId="77777777" w:rsidR="00254D2D" w:rsidRPr="0026581F" w:rsidRDefault="00254D2D" w:rsidP="00355749">
            <w:pPr>
              <w:rPr>
                <w:rFonts w:eastAsia="Calibri"/>
                <w:sz w:val="20"/>
                <w:szCs w:val="18"/>
                <w:lang w:val="en-GB"/>
              </w:rPr>
            </w:pPr>
          </w:p>
        </w:tc>
        <w:tc>
          <w:tcPr>
            <w:tcW w:w="1141" w:type="pct"/>
          </w:tcPr>
          <w:p w14:paraId="79289187" w14:textId="77777777" w:rsidR="00254D2D" w:rsidRPr="0026581F" w:rsidRDefault="00254D2D" w:rsidP="00355749">
            <w:pPr>
              <w:jc w:val="both"/>
              <w:rPr>
                <w:rFonts w:eastAsia="Calibri"/>
                <w:sz w:val="20"/>
                <w:szCs w:val="18"/>
                <w:lang w:val="en-GB"/>
              </w:rPr>
            </w:pPr>
          </w:p>
        </w:tc>
      </w:tr>
      <w:tr w:rsidR="00254D2D" w:rsidRPr="0026581F" w14:paraId="5C76FE2F" w14:textId="77777777" w:rsidTr="00355749">
        <w:tc>
          <w:tcPr>
            <w:tcW w:w="1242" w:type="pct"/>
            <w:shd w:val="clear" w:color="auto" w:fill="BFBFBF"/>
          </w:tcPr>
          <w:p w14:paraId="25FFDF96" w14:textId="77777777" w:rsidR="00254D2D" w:rsidRPr="0026581F" w:rsidRDefault="00254D2D" w:rsidP="00355749">
            <w:pPr>
              <w:rPr>
                <w:rFonts w:eastAsia="Calibri"/>
                <w:sz w:val="18"/>
                <w:szCs w:val="16"/>
                <w:lang w:val="en-GB"/>
              </w:rPr>
            </w:pPr>
            <w:r>
              <w:rPr>
                <w:rFonts w:eastAsia="Calibri"/>
                <w:sz w:val="18"/>
                <w:szCs w:val="16"/>
                <w:lang w:val="en-GB"/>
              </w:rPr>
              <w:t>Statement of reserves for oil, gas and mining companies (if relevant)</w:t>
            </w:r>
          </w:p>
        </w:tc>
        <w:tc>
          <w:tcPr>
            <w:tcW w:w="1003" w:type="pct"/>
            <w:shd w:val="clear" w:color="auto" w:fill="BFBFBF"/>
          </w:tcPr>
          <w:p w14:paraId="643146EC" w14:textId="0E48C462" w:rsidR="00254D2D" w:rsidRPr="0052201E" w:rsidRDefault="00254D2D" w:rsidP="00355749">
            <w:pPr>
              <w:rPr>
                <w:rFonts w:eastAsia="Calibri"/>
                <w:sz w:val="18"/>
                <w:szCs w:val="16"/>
                <w:lang w:val="en-GB"/>
              </w:rPr>
            </w:pPr>
            <w:r w:rsidRPr="0052201E">
              <w:rPr>
                <w:rFonts w:eastAsia="Calibri"/>
                <w:sz w:val="18"/>
                <w:szCs w:val="16"/>
                <w:lang w:val="en-GB"/>
              </w:rPr>
              <w:t xml:space="preserve">RB Part II </w:t>
            </w:r>
            <w:r w:rsidR="00C73C26" w:rsidRPr="0052201E">
              <w:rPr>
                <w:rFonts w:eastAsia="Calibri"/>
                <w:sz w:val="18"/>
                <w:szCs w:val="16"/>
                <w:lang w:val="en-GB"/>
              </w:rPr>
              <w:t>2</w:t>
            </w:r>
            <w:r w:rsidRPr="0052201E">
              <w:rPr>
                <w:rFonts w:eastAsia="Calibri"/>
                <w:sz w:val="18"/>
                <w:szCs w:val="16"/>
                <w:lang w:val="en-GB"/>
              </w:rPr>
              <w:t>.</w:t>
            </w:r>
            <w:r w:rsidR="00C73C26" w:rsidRPr="0052201E">
              <w:rPr>
                <w:rFonts w:eastAsia="Calibri"/>
                <w:sz w:val="18"/>
                <w:szCs w:val="16"/>
                <w:lang w:val="en-GB"/>
              </w:rPr>
              <w:t>1</w:t>
            </w:r>
            <w:r w:rsidRPr="0052201E">
              <w:rPr>
                <w:rFonts w:eastAsia="Calibri"/>
                <w:sz w:val="18"/>
                <w:szCs w:val="16"/>
                <w:lang w:val="en-GB"/>
              </w:rPr>
              <w:t>.7</w:t>
            </w:r>
          </w:p>
        </w:tc>
        <w:tc>
          <w:tcPr>
            <w:tcW w:w="508" w:type="pct"/>
            <w:shd w:val="clear" w:color="auto" w:fill="FFFFFF"/>
          </w:tcPr>
          <w:p w14:paraId="517AA5DF" w14:textId="77777777" w:rsidR="00254D2D" w:rsidRPr="0026581F" w:rsidRDefault="00254D2D" w:rsidP="00355749">
            <w:pPr>
              <w:jc w:val="center"/>
              <w:rPr>
                <w:rFonts w:eastAsia="Calibri"/>
                <w:sz w:val="20"/>
                <w:szCs w:val="18"/>
                <w:lang w:val="en-GB"/>
              </w:rPr>
            </w:pPr>
          </w:p>
        </w:tc>
        <w:tc>
          <w:tcPr>
            <w:tcW w:w="522" w:type="pct"/>
            <w:shd w:val="clear" w:color="auto" w:fill="D9D9D9" w:themeFill="background1" w:themeFillShade="D9"/>
          </w:tcPr>
          <w:p w14:paraId="693A498E" w14:textId="77777777" w:rsidR="00254D2D" w:rsidRPr="0026581F" w:rsidRDefault="00254D2D" w:rsidP="00355749">
            <w:pPr>
              <w:rPr>
                <w:rFonts w:eastAsia="Calibri"/>
                <w:sz w:val="20"/>
                <w:szCs w:val="18"/>
                <w:lang w:val="en-GB"/>
              </w:rPr>
            </w:pPr>
          </w:p>
        </w:tc>
        <w:tc>
          <w:tcPr>
            <w:tcW w:w="584" w:type="pct"/>
            <w:shd w:val="clear" w:color="auto" w:fill="D9D9D9"/>
          </w:tcPr>
          <w:p w14:paraId="7C24BBDA" w14:textId="77777777" w:rsidR="00254D2D" w:rsidRPr="0026581F" w:rsidRDefault="00254D2D" w:rsidP="00355749">
            <w:pPr>
              <w:rPr>
                <w:rFonts w:eastAsia="Calibri"/>
                <w:sz w:val="20"/>
                <w:szCs w:val="18"/>
                <w:lang w:val="en-GB"/>
              </w:rPr>
            </w:pPr>
          </w:p>
        </w:tc>
        <w:tc>
          <w:tcPr>
            <w:tcW w:w="1141" w:type="pct"/>
          </w:tcPr>
          <w:p w14:paraId="28479049" w14:textId="77777777" w:rsidR="00254D2D" w:rsidRPr="0026581F" w:rsidRDefault="00254D2D" w:rsidP="00355749">
            <w:pPr>
              <w:jc w:val="both"/>
              <w:rPr>
                <w:rFonts w:eastAsia="Calibri"/>
                <w:sz w:val="20"/>
                <w:szCs w:val="18"/>
                <w:lang w:val="en-GB"/>
              </w:rPr>
            </w:pPr>
          </w:p>
        </w:tc>
      </w:tr>
      <w:bookmarkEnd w:id="69"/>
    </w:tbl>
    <w:p w14:paraId="75E7252A" w14:textId="77777777" w:rsidR="008A2516" w:rsidRPr="00A76040" w:rsidRDefault="008A2516">
      <w:pPr>
        <w:rPr>
          <w:rFonts w:eastAsia="Times New Roman" w:cs="Times New Roman"/>
          <w:b/>
          <w:bCs/>
          <w:sz w:val="28"/>
          <w:szCs w:val="28"/>
          <w:lang w:val="en-GB" w:eastAsia="nb-NO"/>
        </w:rPr>
      </w:pPr>
      <w:r w:rsidRPr="00A76040">
        <w:rPr>
          <w:sz w:val="28"/>
          <w:szCs w:val="28"/>
          <w:lang w:val="en-GB"/>
        </w:rPr>
        <w:br w:type="page"/>
      </w:r>
    </w:p>
    <w:bookmarkEnd w:id="70"/>
    <w:bookmarkEnd w:id="71"/>
    <w:p w14:paraId="3F89B81D" w14:textId="12F79691" w:rsidR="0090231C" w:rsidRPr="00A76040" w:rsidRDefault="00A432C1" w:rsidP="00254D2D">
      <w:pPr>
        <w:pStyle w:val="Heading1"/>
      </w:pPr>
      <w:r>
        <w:lastRenderedPageBreak/>
        <w:t>DOCUMENTS TO BE ATTACHED TO THE APPLICATION</w:t>
      </w:r>
    </w:p>
    <w:tbl>
      <w:tblPr>
        <w:tblStyle w:val="TableGrid"/>
        <w:tblW w:w="10207" w:type="dxa"/>
        <w:tblInd w:w="-34" w:type="dxa"/>
        <w:tblLayout w:type="fixed"/>
        <w:tblLook w:val="04A0" w:firstRow="1" w:lastRow="0" w:firstColumn="1" w:lastColumn="0" w:noHBand="0" w:noVBand="1"/>
      </w:tblPr>
      <w:tblGrid>
        <w:gridCol w:w="568"/>
        <w:gridCol w:w="7087"/>
        <w:gridCol w:w="2552"/>
      </w:tblGrid>
      <w:tr w:rsidR="00254D2D" w:rsidRPr="00706E66" w14:paraId="31D3E7F5" w14:textId="77777777" w:rsidTr="00355749">
        <w:tc>
          <w:tcPr>
            <w:tcW w:w="568" w:type="dxa"/>
          </w:tcPr>
          <w:p w14:paraId="06C78520" w14:textId="77777777" w:rsidR="00254D2D" w:rsidRPr="00116F07" w:rsidRDefault="00254D2D" w:rsidP="00355749">
            <w:pPr>
              <w:pStyle w:val="Default"/>
              <w:jc w:val="right"/>
              <w:rPr>
                <w:rFonts w:asciiTheme="minorHAnsi" w:hAnsiTheme="minorHAnsi" w:cstheme="minorHAnsi"/>
                <w:sz w:val="20"/>
                <w:szCs w:val="20"/>
                <w:lang w:val="en-GB"/>
              </w:rPr>
            </w:pPr>
          </w:p>
        </w:tc>
        <w:tc>
          <w:tcPr>
            <w:tcW w:w="7087" w:type="dxa"/>
          </w:tcPr>
          <w:p w14:paraId="2F4ACB88" w14:textId="77777777" w:rsidR="00254D2D" w:rsidRPr="00116F07" w:rsidRDefault="00254D2D" w:rsidP="00355749">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Documentation:</w:t>
            </w:r>
          </w:p>
        </w:tc>
        <w:tc>
          <w:tcPr>
            <w:tcW w:w="2552" w:type="dxa"/>
          </w:tcPr>
          <w:p w14:paraId="636EEF01" w14:textId="77777777" w:rsidR="00254D2D" w:rsidRPr="00116F07" w:rsidRDefault="00254D2D" w:rsidP="00355749">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 xml:space="preserve">Please include attachment number: </w:t>
            </w:r>
            <w:r w:rsidRPr="00116F07">
              <w:rPr>
                <w:rFonts w:asciiTheme="minorHAnsi" w:hAnsiTheme="minorHAnsi" w:cstheme="minorHAnsi"/>
                <w:sz w:val="20"/>
                <w:szCs w:val="20"/>
                <w:lang w:val="en-GB"/>
              </w:rPr>
              <w:t>(Alternatively</w:t>
            </w:r>
            <w:r>
              <w:rPr>
                <w:rFonts w:asciiTheme="minorHAnsi" w:hAnsiTheme="minorHAnsi" w:cstheme="minorHAnsi"/>
                <w:sz w:val="20"/>
                <w:szCs w:val="20"/>
                <w:lang w:val="en-GB"/>
              </w:rPr>
              <w:t>,</w:t>
            </w:r>
            <w:r w:rsidRPr="00116F07">
              <w:rPr>
                <w:rFonts w:asciiTheme="minorHAnsi" w:hAnsiTheme="minorHAnsi" w:cstheme="minorHAnsi"/>
                <w:sz w:val="20"/>
                <w:szCs w:val="20"/>
                <w:lang w:val="en-GB"/>
              </w:rPr>
              <w:t xml:space="preserve"> “not relevant”, or other comments)</w:t>
            </w:r>
          </w:p>
        </w:tc>
      </w:tr>
      <w:tr w:rsidR="00254D2D" w:rsidRPr="00A432C1" w14:paraId="14C6B15E" w14:textId="77777777" w:rsidTr="00355749">
        <w:tc>
          <w:tcPr>
            <w:tcW w:w="568" w:type="dxa"/>
          </w:tcPr>
          <w:p w14:paraId="29767FBE" w14:textId="77777777" w:rsidR="00254D2D" w:rsidRPr="00116F07" w:rsidRDefault="00254D2D" w:rsidP="00355749">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1</w:t>
            </w:r>
            <w:r w:rsidRPr="00116F07">
              <w:rPr>
                <w:rFonts w:asciiTheme="minorHAnsi" w:hAnsiTheme="minorHAnsi" w:cstheme="minorHAnsi"/>
                <w:sz w:val="20"/>
                <w:szCs w:val="20"/>
                <w:lang w:val="en-GB"/>
              </w:rPr>
              <w:t>.</w:t>
            </w:r>
          </w:p>
        </w:tc>
        <w:tc>
          <w:tcPr>
            <w:tcW w:w="7087" w:type="dxa"/>
          </w:tcPr>
          <w:p w14:paraId="420F586A" w14:textId="53766F65" w:rsidR="00254D2D" w:rsidRPr="0052201E" w:rsidRDefault="00254D2D" w:rsidP="00355749">
            <w:pPr>
              <w:pStyle w:val="Default"/>
              <w:rPr>
                <w:rFonts w:asciiTheme="minorHAnsi" w:hAnsiTheme="minorHAnsi" w:cstheme="minorHAnsi"/>
                <w:sz w:val="20"/>
                <w:szCs w:val="20"/>
                <w:lang w:val="en-GB"/>
              </w:rPr>
            </w:pPr>
            <w:r w:rsidRPr="0052201E">
              <w:rPr>
                <w:rFonts w:asciiTheme="minorHAnsi" w:hAnsiTheme="minorHAnsi" w:cstheme="minorHAnsi"/>
                <w:sz w:val="20"/>
                <w:szCs w:val="20"/>
                <w:lang w:val="en-GB"/>
              </w:rPr>
              <w:t>A well-prepared draft Information Document with a completed checklist. If the Issuer is using a prospectus pursuant to the Prospectus Regulation as its Presentation Document, the draft must be sufficiently complete for Oslo Børs to evaluate the relevant information.</w:t>
            </w:r>
            <w:r w:rsidR="000644F8" w:rsidRPr="0052201E">
              <w:rPr>
                <w:rFonts w:asciiTheme="minorHAnsi" w:hAnsiTheme="minorHAnsi" w:cstheme="minorHAnsi"/>
                <w:sz w:val="20"/>
                <w:szCs w:val="20"/>
                <w:lang w:val="en-GB"/>
              </w:rPr>
              <w:t xml:space="preserve"> (Cf. Notice </w:t>
            </w:r>
            <w:r w:rsidR="00C73C26" w:rsidRPr="0052201E">
              <w:rPr>
                <w:rFonts w:asciiTheme="minorHAnsi" w:hAnsiTheme="minorHAnsi" w:cstheme="minorHAnsi"/>
                <w:sz w:val="20"/>
                <w:szCs w:val="20"/>
                <w:lang w:val="en-GB"/>
              </w:rPr>
              <w:t>2</w:t>
            </w:r>
            <w:r w:rsidR="000644F8" w:rsidRPr="0052201E">
              <w:rPr>
                <w:rFonts w:asciiTheme="minorHAnsi" w:hAnsiTheme="minorHAnsi" w:cstheme="minorHAnsi"/>
                <w:sz w:val="20"/>
                <w:szCs w:val="20"/>
                <w:lang w:val="en-GB"/>
              </w:rPr>
              <w:t>.</w:t>
            </w:r>
            <w:r w:rsidR="00C73C26" w:rsidRPr="0052201E">
              <w:rPr>
                <w:rFonts w:asciiTheme="minorHAnsi" w:hAnsiTheme="minorHAnsi" w:cstheme="minorHAnsi"/>
                <w:sz w:val="20"/>
                <w:szCs w:val="20"/>
                <w:lang w:val="en-GB"/>
              </w:rPr>
              <w:t>2</w:t>
            </w:r>
            <w:r w:rsidR="000644F8" w:rsidRPr="0052201E">
              <w:rPr>
                <w:rFonts w:asciiTheme="minorHAnsi" w:hAnsiTheme="minorHAnsi" w:cstheme="minorHAnsi"/>
                <w:sz w:val="20"/>
                <w:szCs w:val="20"/>
                <w:lang w:val="en-GB"/>
              </w:rPr>
              <w:t xml:space="preserve"> section 2 (3) item 1).</w:t>
            </w:r>
          </w:p>
        </w:tc>
        <w:tc>
          <w:tcPr>
            <w:tcW w:w="2552" w:type="dxa"/>
          </w:tcPr>
          <w:p w14:paraId="61BFC3C8" w14:textId="77777777" w:rsidR="00254D2D" w:rsidRPr="00116F07" w:rsidRDefault="00254D2D" w:rsidP="00355749">
            <w:pPr>
              <w:pStyle w:val="Default"/>
              <w:rPr>
                <w:rFonts w:asciiTheme="minorHAnsi" w:hAnsiTheme="minorHAnsi" w:cstheme="minorHAnsi"/>
                <w:sz w:val="20"/>
                <w:szCs w:val="20"/>
                <w:lang w:val="en-GB"/>
              </w:rPr>
            </w:pPr>
          </w:p>
        </w:tc>
      </w:tr>
      <w:tr w:rsidR="007F6778" w:rsidRPr="00706E66" w14:paraId="48468E11" w14:textId="77777777" w:rsidTr="00355749">
        <w:tc>
          <w:tcPr>
            <w:tcW w:w="568" w:type="dxa"/>
          </w:tcPr>
          <w:p w14:paraId="14AD3808" w14:textId="43C740C0" w:rsidR="007F6778" w:rsidRDefault="00D031CB" w:rsidP="00355749">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2.</w:t>
            </w:r>
          </w:p>
        </w:tc>
        <w:tc>
          <w:tcPr>
            <w:tcW w:w="7087" w:type="dxa"/>
          </w:tcPr>
          <w:p w14:paraId="544B35FD" w14:textId="1BEB08F8" w:rsidR="007F6778" w:rsidRPr="0052201E" w:rsidRDefault="00DF04E5" w:rsidP="00355749">
            <w:pPr>
              <w:pStyle w:val="Default"/>
              <w:rPr>
                <w:rFonts w:asciiTheme="minorHAnsi" w:hAnsiTheme="minorHAnsi" w:cstheme="minorHAnsi"/>
                <w:sz w:val="20"/>
                <w:szCs w:val="20"/>
                <w:lang w:val="en-GB"/>
              </w:rPr>
            </w:pPr>
            <w:r>
              <w:rPr>
                <w:rFonts w:asciiTheme="minorHAnsi" w:hAnsiTheme="minorHAnsi" w:cstheme="minorHAnsi"/>
                <w:sz w:val="20"/>
                <w:szCs w:val="20"/>
                <w:lang w:val="en-GB"/>
              </w:rPr>
              <w:t xml:space="preserve">The Due Diligence </w:t>
            </w:r>
            <w:r w:rsidR="00310A10">
              <w:rPr>
                <w:rFonts w:asciiTheme="minorHAnsi" w:hAnsiTheme="minorHAnsi" w:cstheme="minorHAnsi"/>
                <w:sz w:val="20"/>
                <w:szCs w:val="20"/>
                <w:lang w:val="en-GB"/>
              </w:rPr>
              <w:t xml:space="preserve">form </w:t>
            </w:r>
            <w:r w:rsidR="00BB4327">
              <w:rPr>
                <w:rFonts w:asciiTheme="minorHAnsi" w:hAnsiTheme="minorHAnsi" w:cstheme="minorHAnsi"/>
                <w:sz w:val="20"/>
                <w:szCs w:val="20"/>
                <w:lang w:val="en-GB"/>
              </w:rPr>
              <w:t>(</w:t>
            </w:r>
            <w:r w:rsidR="00A50169">
              <w:rPr>
                <w:rFonts w:asciiTheme="minorHAnsi" w:hAnsiTheme="minorHAnsi" w:cstheme="minorHAnsi"/>
                <w:sz w:val="20"/>
                <w:szCs w:val="20"/>
                <w:lang w:val="en-GB"/>
              </w:rPr>
              <w:t>c</w:t>
            </w:r>
            <w:r w:rsidR="00310A10">
              <w:rPr>
                <w:rFonts w:asciiTheme="minorHAnsi" w:hAnsiTheme="minorHAnsi" w:cstheme="minorHAnsi"/>
                <w:sz w:val="20"/>
                <w:szCs w:val="20"/>
                <w:lang w:val="en-GB"/>
              </w:rPr>
              <w:t xml:space="preserve">f. </w:t>
            </w:r>
            <w:bookmarkStart w:id="72" w:name="_Hlk126670208"/>
            <w:r w:rsidR="001C75FD">
              <w:rPr>
                <w:rFonts w:asciiTheme="minorHAnsi" w:hAnsiTheme="minorHAnsi" w:cstheme="minorHAnsi"/>
                <w:sz w:val="20"/>
                <w:szCs w:val="20"/>
                <w:lang w:val="en-GB"/>
              </w:rPr>
              <w:t>Notice 2.2</w:t>
            </w:r>
            <w:r w:rsidR="00391251">
              <w:rPr>
                <w:rFonts w:asciiTheme="minorHAnsi" w:hAnsiTheme="minorHAnsi" w:cstheme="minorHAnsi"/>
                <w:sz w:val="20"/>
                <w:szCs w:val="20"/>
                <w:lang w:val="en-GB"/>
              </w:rPr>
              <w:t xml:space="preserve"> section 2 (1)</w:t>
            </w:r>
            <w:bookmarkEnd w:id="72"/>
            <w:r w:rsidR="007D1369">
              <w:rPr>
                <w:rFonts w:asciiTheme="minorHAnsi" w:hAnsiTheme="minorHAnsi" w:cstheme="minorHAnsi"/>
                <w:sz w:val="20"/>
                <w:szCs w:val="20"/>
                <w:lang w:val="en-GB"/>
              </w:rPr>
              <w:t>)</w:t>
            </w:r>
            <w:r w:rsidR="00A50169">
              <w:rPr>
                <w:rFonts w:asciiTheme="minorHAnsi" w:hAnsiTheme="minorHAnsi" w:cstheme="minorHAnsi"/>
                <w:sz w:val="20"/>
                <w:szCs w:val="20"/>
                <w:lang w:val="en-GB"/>
              </w:rPr>
              <w:t>.</w:t>
            </w:r>
          </w:p>
        </w:tc>
        <w:tc>
          <w:tcPr>
            <w:tcW w:w="2552" w:type="dxa"/>
          </w:tcPr>
          <w:p w14:paraId="646315C2" w14:textId="77777777" w:rsidR="007F6778" w:rsidRPr="00116F07" w:rsidRDefault="007F6778" w:rsidP="00355749">
            <w:pPr>
              <w:pStyle w:val="Default"/>
              <w:rPr>
                <w:rFonts w:asciiTheme="minorHAnsi" w:hAnsiTheme="minorHAnsi" w:cstheme="minorHAnsi"/>
                <w:sz w:val="20"/>
                <w:szCs w:val="20"/>
                <w:lang w:val="en-GB"/>
              </w:rPr>
            </w:pPr>
          </w:p>
        </w:tc>
      </w:tr>
      <w:tr w:rsidR="00254D2D" w:rsidRPr="00A432C1" w14:paraId="140F1E34" w14:textId="77777777" w:rsidTr="00355749">
        <w:tc>
          <w:tcPr>
            <w:tcW w:w="568" w:type="dxa"/>
          </w:tcPr>
          <w:p w14:paraId="258F113B" w14:textId="22C3DB87" w:rsidR="00254D2D" w:rsidRPr="00116F07" w:rsidRDefault="00D031CB" w:rsidP="00355749">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3</w:t>
            </w:r>
            <w:r w:rsidR="00254D2D" w:rsidRPr="00116F07">
              <w:rPr>
                <w:rFonts w:asciiTheme="minorHAnsi" w:hAnsiTheme="minorHAnsi" w:cstheme="minorHAnsi"/>
                <w:sz w:val="20"/>
                <w:szCs w:val="20"/>
                <w:lang w:val="en-GB"/>
              </w:rPr>
              <w:t>.</w:t>
            </w:r>
          </w:p>
        </w:tc>
        <w:tc>
          <w:tcPr>
            <w:tcW w:w="7087" w:type="dxa"/>
          </w:tcPr>
          <w:p w14:paraId="7C94D31B" w14:textId="00C4DEA0" w:rsidR="00254D2D" w:rsidRPr="0052201E" w:rsidRDefault="00254D2D" w:rsidP="00355749">
            <w:pPr>
              <w:pStyle w:val="Default"/>
              <w:rPr>
                <w:rFonts w:asciiTheme="minorHAnsi" w:hAnsiTheme="minorHAnsi" w:cstheme="minorHAnsi"/>
                <w:sz w:val="20"/>
                <w:szCs w:val="20"/>
                <w:lang w:val="en-US"/>
              </w:rPr>
            </w:pPr>
            <w:r w:rsidRPr="0052201E">
              <w:rPr>
                <w:rFonts w:asciiTheme="minorHAnsi" w:hAnsiTheme="minorHAnsi" w:cstheme="minorHAnsi"/>
                <w:sz w:val="20"/>
                <w:szCs w:val="20"/>
                <w:lang w:val="en-GB"/>
              </w:rPr>
              <w:t>A copy of the minutes of the board meeting showing the resolution to apply for admission to trading of the Issuer’s Shares. The copy must be a certified copy unless the minutes are signed electronically by use of Bank-ID. If the application is signed pursuant to a power of attorney, a copy of the signed power of attorney must be attached.</w:t>
            </w:r>
            <w:r w:rsidR="00355749" w:rsidRPr="0052201E">
              <w:rPr>
                <w:rFonts w:asciiTheme="minorHAnsi" w:hAnsiTheme="minorHAnsi" w:cstheme="minorHAnsi"/>
                <w:sz w:val="20"/>
                <w:szCs w:val="20"/>
                <w:lang w:val="en-GB"/>
              </w:rPr>
              <w:t xml:space="preserve"> (Cf. Notice </w:t>
            </w:r>
            <w:r w:rsidR="00A92BBB" w:rsidRPr="0052201E">
              <w:rPr>
                <w:rFonts w:asciiTheme="minorHAnsi" w:hAnsiTheme="minorHAnsi" w:cstheme="minorHAnsi"/>
                <w:sz w:val="20"/>
                <w:szCs w:val="20"/>
                <w:lang w:val="en-GB"/>
              </w:rPr>
              <w:t>2</w:t>
            </w:r>
            <w:r w:rsidR="00355749" w:rsidRPr="0052201E">
              <w:rPr>
                <w:rFonts w:asciiTheme="minorHAnsi" w:hAnsiTheme="minorHAnsi" w:cstheme="minorHAnsi"/>
                <w:sz w:val="20"/>
                <w:szCs w:val="20"/>
                <w:lang w:val="en-GB"/>
              </w:rPr>
              <w:t>.</w:t>
            </w:r>
            <w:r w:rsidR="00A92BBB" w:rsidRPr="0052201E">
              <w:rPr>
                <w:rFonts w:asciiTheme="minorHAnsi" w:hAnsiTheme="minorHAnsi" w:cstheme="minorHAnsi"/>
                <w:sz w:val="20"/>
                <w:szCs w:val="20"/>
                <w:lang w:val="en-GB"/>
              </w:rPr>
              <w:t>2</w:t>
            </w:r>
            <w:r w:rsidR="00355749" w:rsidRPr="0052201E">
              <w:rPr>
                <w:rFonts w:asciiTheme="minorHAnsi" w:hAnsiTheme="minorHAnsi" w:cstheme="minorHAnsi"/>
                <w:sz w:val="20"/>
                <w:szCs w:val="20"/>
                <w:lang w:val="en-GB"/>
              </w:rPr>
              <w:t xml:space="preserve"> section 2 (3) item 2).</w:t>
            </w:r>
          </w:p>
        </w:tc>
        <w:tc>
          <w:tcPr>
            <w:tcW w:w="2552" w:type="dxa"/>
          </w:tcPr>
          <w:p w14:paraId="7473A85E" w14:textId="77777777" w:rsidR="00254D2D" w:rsidRPr="00116F07" w:rsidRDefault="00254D2D" w:rsidP="00355749">
            <w:pPr>
              <w:pStyle w:val="Default"/>
              <w:rPr>
                <w:rFonts w:asciiTheme="minorHAnsi" w:hAnsiTheme="minorHAnsi" w:cstheme="minorHAnsi"/>
                <w:sz w:val="20"/>
                <w:szCs w:val="20"/>
                <w:lang w:val="en-GB"/>
              </w:rPr>
            </w:pPr>
          </w:p>
        </w:tc>
      </w:tr>
      <w:tr w:rsidR="00254D2D" w:rsidRPr="00706E66" w14:paraId="742CEDA3" w14:textId="77777777" w:rsidTr="00355749">
        <w:tc>
          <w:tcPr>
            <w:tcW w:w="568" w:type="dxa"/>
          </w:tcPr>
          <w:p w14:paraId="230674B4" w14:textId="4EC97DD1" w:rsidR="00254D2D" w:rsidRPr="00116F07" w:rsidRDefault="00D031CB" w:rsidP="00355749">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4</w:t>
            </w:r>
            <w:r w:rsidR="00254D2D" w:rsidRPr="00116F07">
              <w:rPr>
                <w:rFonts w:asciiTheme="minorHAnsi" w:hAnsiTheme="minorHAnsi" w:cstheme="minorHAnsi"/>
                <w:sz w:val="20"/>
                <w:szCs w:val="20"/>
                <w:lang w:val="en-GB"/>
              </w:rPr>
              <w:t>.</w:t>
            </w:r>
          </w:p>
        </w:tc>
        <w:tc>
          <w:tcPr>
            <w:tcW w:w="7087" w:type="dxa"/>
          </w:tcPr>
          <w:p w14:paraId="49B7DFA1" w14:textId="1ACF7530" w:rsidR="00254D2D" w:rsidRPr="0052201E" w:rsidRDefault="00254D2D" w:rsidP="00355749">
            <w:pPr>
              <w:pStyle w:val="Default"/>
              <w:rPr>
                <w:rFonts w:asciiTheme="minorHAnsi" w:hAnsiTheme="minorHAnsi" w:cstheme="minorHAnsi"/>
                <w:sz w:val="20"/>
                <w:szCs w:val="20"/>
                <w:lang w:val="en-GB"/>
              </w:rPr>
            </w:pPr>
            <w:r w:rsidRPr="0052201E">
              <w:rPr>
                <w:rFonts w:asciiTheme="minorHAnsi" w:hAnsiTheme="minorHAnsi" w:cstheme="minorHAnsi"/>
                <w:sz w:val="20"/>
                <w:szCs w:val="20"/>
                <w:lang w:val="en-GB"/>
              </w:rPr>
              <w:t xml:space="preserve">The Issuer’s </w:t>
            </w:r>
            <w:bookmarkStart w:id="73" w:name="_Hlk54866717"/>
            <w:r w:rsidRPr="0052201E">
              <w:rPr>
                <w:rFonts w:asciiTheme="minorHAnsi" w:hAnsiTheme="minorHAnsi" w:cstheme="minorHAnsi"/>
                <w:sz w:val="20"/>
                <w:szCs w:val="20"/>
                <w:lang w:val="en-GB"/>
              </w:rPr>
              <w:t>certificate of registration issued by the Register of Business Enterprises or a document equivalent thereto. If the Issuer is incorporated in a jurisdiction where such documents are not issued, it must produce a statement from an external attorney addressed to Oslo Børs, which confirms that the Shares are validly and legally issued, fully paid up and properly registered with the relevant register or equivalent body. A draft of such a statement must be made available at the time at which the application for admission to trading is submitted</w:t>
            </w:r>
            <w:bookmarkEnd w:id="73"/>
            <w:r w:rsidRPr="0052201E">
              <w:rPr>
                <w:rFonts w:asciiTheme="minorHAnsi" w:hAnsiTheme="minorHAnsi" w:cstheme="minorHAnsi"/>
                <w:sz w:val="20"/>
                <w:szCs w:val="20"/>
                <w:lang w:val="en-GB"/>
              </w:rPr>
              <w:t>. (Cf. Rule Book Part I Rule 3.1.5</w:t>
            </w:r>
            <w:r w:rsidR="00355749" w:rsidRPr="0052201E">
              <w:rPr>
                <w:rFonts w:asciiTheme="minorHAnsi" w:hAnsiTheme="minorHAnsi" w:cstheme="minorHAnsi"/>
                <w:sz w:val="20"/>
                <w:szCs w:val="20"/>
                <w:lang w:val="en-GB"/>
              </w:rPr>
              <w:t xml:space="preserve"> and Notice </w:t>
            </w:r>
            <w:r w:rsidR="00A92BBB" w:rsidRPr="0052201E">
              <w:rPr>
                <w:rFonts w:asciiTheme="minorHAnsi" w:hAnsiTheme="minorHAnsi" w:cstheme="minorHAnsi"/>
                <w:sz w:val="20"/>
                <w:szCs w:val="20"/>
                <w:lang w:val="en-GB"/>
              </w:rPr>
              <w:t>2</w:t>
            </w:r>
            <w:r w:rsidR="00355749" w:rsidRPr="0052201E">
              <w:rPr>
                <w:rFonts w:asciiTheme="minorHAnsi" w:hAnsiTheme="minorHAnsi" w:cstheme="minorHAnsi"/>
                <w:sz w:val="20"/>
                <w:szCs w:val="20"/>
                <w:lang w:val="en-GB"/>
              </w:rPr>
              <w:t>.</w:t>
            </w:r>
            <w:r w:rsidR="00A92BBB" w:rsidRPr="0052201E">
              <w:rPr>
                <w:rFonts w:asciiTheme="minorHAnsi" w:hAnsiTheme="minorHAnsi" w:cstheme="minorHAnsi"/>
                <w:sz w:val="20"/>
                <w:szCs w:val="20"/>
                <w:lang w:val="en-GB"/>
              </w:rPr>
              <w:t>2</w:t>
            </w:r>
            <w:r w:rsidR="00355749" w:rsidRPr="0052201E">
              <w:rPr>
                <w:rFonts w:asciiTheme="minorHAnsi" w:hAnsiTheme="minorHAnsi" w:cstheme="minorHAnsi"/>
                <w:sz w:val="20"/>
                <w:szCs w:val="20"/>
                <w:lang w:val="en-GB"/>
              </w:rPr>
              <w:t xml:space="preserve"> section 2 (3) item 3</w:t>
            </w:r>
            <w:r w:rsidRPr="0052201E">
              <w:rPr>
                <w:rFonts w:asciiTheme="minorHAnsi" w:hAnsiTheme="minorHAnsi" w:cstheme="minorHAnsi"/>
                <w:sz w:val="20"/>
                <w:szCs w:val="20"/>
                <w:lang w:val="en-GB"/>
              </w:rPr>
              <w:t>).</w:t>
            </w:r>
          </w:p>
        </w:tc>
        <w:tc>
          <w:tcPr>
            <w:tcW w:w="2552" w:type="dxa"/>
          </w:tcPr>
          <w:p w14:paraId="2E0AECD8" w14:textId="77777777" w:rsidR="00254D2D" w:rsidRPr="00116F07" w:rsidRDefault="00254D2D" w:rsidP="00355749">
            <w:pPr>
              <w:pStyle w:val="Default"/>
              <w:rPr>
                <w:rFonts w:asciiTheme="minorHAnsi" w:hAnsiTheme="minorHAnsi" w:cstheme="minorHAnsi"/>
                <w:sz w:val="20"/>
                <w:szCs w:val="20"/>
                <w:lang w:val="en-GB"/>
              </w:rPr>
            </w:pPr>
          </w:p>
        </w:tc>
      </w:tr>
      <w:tr w:rsidR="00254D2D" w:rsidRPr="00706E66" w14:paraId="4911F61D" w14:textId="77777777" w:rsidTr="00355749">
        <w:tc>
          <w:tcPr>
            <w:tcW w:w="568" w:type="dxa"/>
          </w:tcPr>
          <w:p w14:paraId="7AA577E1" w14:textId="22ECA879" w:rsidR="00254D2D" w:rsidRPr="00116F07" w:rsidRDefault="00D031CB" w:rsidP="00355749">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5</w:t>
            </w:r>
            <w:r w:rsidR="00254D2D" w:rsidRPr="00116F07">
              <w:rPr>
                <w:rFonts w:asciiTheme="minorHAnsi" w:hAnsiTheme="minorHAnsi" w:cstheme="minorHAnsi"/>
                <w:sz w:val="20"/>
                <w:szCs w:val="20"/>
                <w:lang w:val="en-GB"/>
              </w:rPr>
              <w:t>.</w:t>
            </w:r>
          </w:p>
        </w:tc>
        <w:tc>
          <w:tcPr>
            <w:tcW w:w="7087" w:type="dxa"/>
          </w:tcPr>
          <w:p w14:paraId="38F4E1B5" w14:textId="2CA80A13" w:rsidR="00254D2D" w:rsidRPr="0052201E" w:rsidRDefault="00254D2D" w:rsidP="00355749">
            <w:pPr>
              <w:pStyle w:val="Default"/>
              <w:rPr>
                <w:rFonts w:asciiTheme="minorHAnsi" w:hAnsiTheme="minorHAnsi" w:cstheme="minorHAnsi"/>
                <w:sz w:val="20"/>
                <w:szCs w:val="20"/>
                <w:lang w:val="en-GB"/>
              </w:rPr>
            </w:pPr>
            <w:r w:rsidRPr="0052201E">
              <w:rPr>
                <w:rFonts w:asciiTheme="minorHAnsi" w:hAnsiTheme="minorHAnsi" w:cstheme="minorHAnsi"/>
                <w:sz w:val="20"/>
                <w:szCs w:val="20"/>
                <w:lang w:val="en-GB"/>
              </w:rPr>
              <w:t>The Issuer’s articles of association</w:t>
            </w:r>
            <w:r w:rsidR="00355749" w:rsidRPr="0052201E">
              <w:rPr>
                <w:rFonts w:asciiTheme="minorHAnsi" w:hAnsiTheme="minorHAnsi" w:cstheme="minorHAnsi"/>
                <w:sz w:val="20"/>
                <w:szCs w:val="20"/>
                <w:lang w:val="en-GB"/>
              </w:rPr>
              <w:t xml:space="preserve"> (cf. Notice </w:t>
            </w:r>
            <w:r w:rsidR="00A92BBB" w:rsidRPr="0052201E">
              <w:rPr>
                <w:rFonts w:asciiTheme="minorHAnsi" w:hAnsiTheme="minorHAnsi" w:cstheme="minorHAnsi"/>
                <w:sz w:val="20"/>
                <w:szCs w:val="20"/>
                <w:lang w:val="en-GB"/>
              </w:rPr>
              <w:t>2</w:t>
            </w:r>
            <w:r w:rsidR="00355749" w:rsidRPr="0052201E">
              <w:rPr>
                <w:rFonts w:asciiTheme="minorHAnsi" w:hAnsiTheme="minorHAnsi" w:cstheme="minorHAnsi"/>
                <w:sz w:val="20"/>
                <w:szCs w:val="20"/>
                <w:lang w:val="en-GB"/>
              </w:rPr>
              <w:t>.</w:t>
            </w:r>
            <w:r w:rsidR="00A92BBB" w:rsidRPr="0052201E">
              <w:rPr>
                <w:rFonts w:asciiTheme="minorHAnsi" w:hAnsiTheme="minorHAnsi" w:cstheme="minorHAnsi"/>
                <w:sz w:val="20"/>
                <w:szCs w:val="20"/>
                <w:lang w:val="en-GB"/>
              </w:rPr>
              <w:t>2</w:t>
            </w:r>
            <w:r w:rsidR="00355749" w:rsidRPr="0052201E">
              <w:rPr>
                <w:rFonts w:asciiTheme="minorHAnsi" w:hAnsiTheme="minorHAnsi" w:cstheme="minorHAnsi"/>
                <w:sz w:val="20"/>
                <w:szCs w:val="20"/>
                <w:lang w:val="en-GB"/>
              </w:rPr>
              <w:t xml:space="preserve"> section 2 (3) item 4)</w:t>
            </w:r>
            <w:r w:rsidRPr="0052201E">
              <w:rPr>
                <w:rFonts w:asciiTheme="minorHAnsi" w:hAnsiTheme="minorHAnsi" w:cstheme="minorHAnsi"/>
                <w:sz w:val="20"/>
                <w:szCs w:val="20"/>
                <w:lang w:val="en-GB"/>
              </w:rPr>
              <w:t>.</w:t>
            </w:r>
          </w:p>
        </w:tc>
        <w:tc>
          <w:tcPr>
            <w:tcW w:w="2552" w:type="dxa"/>
          </w:tcPr>
          <w:p w14:paraId="2583B70B" w14:textId="77777777" w:rsidR="00254D2D" w:rsidRPr="00116F07" w:rsidRDefault="00254D2D" w:rsidP="00355749">
            <w:pPr>
              <w:pStyle w:val="Default"/>
              <w:rPr>
                <w:rFonts w:asciiTheme="minorHAnsi" w:hAnsiTheme="minorHAnsi" w:cstheme="minorHAnsi"/>
                <w:sz w:val="20"/>
                <w:szCs w:val="20"/>
                <w:lang w:val="en-GB"/>
              </w:rPr>
            </w:pPr>
          </w:p>
        </w:tc>
      </w:tr>
      <w:tr w:rsidR="00254D2D" w:rsidRPr="00A92BBB" w14:paraId="3819312A" w14:textId="77777777" w:rsidTr="00355749">
        <w:tc>
          <w:tcPr>
            <w:tcW w:w="568" w:type="dxa"/>
          </w:tcPr>
          <w:p w14:paraId="511B9D90" w14:textId="6C07F2DC" w:rsidR="00254D2D" w:rsidRDefault="00D031CB" w:rsidP="00355749">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6</w:t>
            </w:r>
            <w:r w:rsidR="00254D2D">
              <w:rPr>
                <w:rFonts w:asciiTheme="minorHAnsi" w:hAnsiTheme="minorHAnsi" w:cstheme="minorHAnsi"/>
                <w:sz w:val="20"/>
                <w:szCs w:val="20"/>
                <w:lang w:val="en-GB"/>
              </w:rPr>
              <w:t>.</w:t>
            </w:r>
          </w:p>
        </w:tc>
        <w:tc>
          <w:tcPr>
            <w:tcW w:w="7087" w:type="dxa"/>
          </w:tcPr>
          <w:p w14:paraId="2B786DC9" w14:textId="73FC19F6" w:rsidR="00254D2D" w:rsidRPr="0052201E" w:rsidRDefault="00254D2D" w:rsidP="00355749">
            <w:pPr>
              <w:pStyle w:val="Default"/>
              <w:rPr>
                <w:rFonts w:asciiTheme="minorHAnsi" w:hAnsiTheme="minorHAnsi" w:cstheme="minorHAnsi"/>
                <w:sz w:val="20"/>
                <w:szCs w:val="20"/>
                <w:lang w:val="en-GB"/>
              </w:rPr>
            </w:pPr>
            <w:bookmarkStart w:id="74" w:name="_Hlk54861038"/>
            <w:r w:rsidRPr="0052201E">
              <w:rPr>
                <w:rFonts w:asciiTheme="minorHAnsi" w:hAnsiTheme="minorHAnsi" w:cstheme="minorHAnsi"/>
                <w:sz w:val="20"/>
                <w:szCs w:val="20"/>
                <w:lang w:val="en-GB"/>
              </w:rPr>
              <w:t xml:space="preserve">Copy of financial statements and interim reports pursuant to Rule Book Part I Rule 3.2.3 and 3.2.4, and Rule Book Part II section </w:t>
            </w:r>
            <w:r w:rsidR="00A92BBB" w:rsidRPr="0052201E">
              <w:rPr>
                <w:rFonts w:asciiTheme="minorHAnsi" w:hAnsiTheme="minorHAnsi" w:cstheme="minorHAnsi"/>
                <w:sz w:val="20"/>
                <w:szCs w:val="20"/>
                <w:lang w:val="en-GB"/>
              </w:rPr>
              <w:t>2</w:t>
            </w:r>
            <w:r w:rsidRPr="0052201E">
              <w:rPr>
                <w:rFonts w:asciiTheme="minorHAnsi" w:hAnsiTheme="minorHAnsi" w:cstheme="minorHAnsi"/>
                <w:sz w:val="20"/>
                <w:szCs w:val="20"/>
                <w:lang w:val="en-GB"/>
              </w:rPr>
              <w:t>.</w:t>
            </w:r>
            <w:r w:rsidR="00A92BBB" w:rsidRPr="0052201E">
              <w:rPr>
                <w:rFonts w:asciiTheme="minorHAnsi" w:hAnsiTheme="minorHAnsi" w:cstheme="minorHAnsi"/>
                <w:sz w:val="20"/>
                <w:szCs w:val="20"/>
                <w:lang w:val="en-GB"/>
              </w:rPr>
              <w:t>1</w:t>
            </w:r>
            <w:r w:rsidRPr="0052201E">
              <w:rPr>
                <w:rFonts w:asciiTheme="minorHAnsi" w:hAnsiTheme="minorHAnsi" w:cstheme="minorHAnsi"/>
                <w:sz w:val="20"/>
                <w:szCs w:val="20"/>
                <w:lang w:val="en-GB"/>
              </w:rPr>
              <w:t>.3.2, including relevant auditor’s statements.</w:t>
            </w:r>
            <w:bookmarkEnd w:id="74"/>
            <w:r w:rsidR="000C7208" w:rsidRPr="0052201E">
              <w:rPr>
                <w:rFonts w:asciiTheme="minorHAnsi" w:hAnsiTheme="minorHAnsi" w:cstheme="minorHAnsi"/>
                <w:sz w:val="20"/>
                <w:szCs w:val="20"/>
                <w:lang w:val="en-GB"/>
              </w:rPr>
              <w:t xml:space="preserve"> (Cf. Notice </w:t>
            </w:r>
            <w:r w:rsidR="00A92BBB" w:rsidRPr="0052201E">
              <w:rPr>
                <w:rFonts w:asciiTheme="minorHAnsi" w:hAnsiTheme="minorHAnsi" w:cstheme="minorHAnsi"/>
                <w:sz w:val="20"/>
                <w:szCs w:val="20"/>
                <w:lang w:val="en-GB"/>
              </w:rPr>
              <w:t>2</w:t>
            </w:r>
            <w:r w:rsidR="000C7208" w:rsidRPr="0052201E">
              <w:rPr>
                <w:rFonts w:asciiTheme="minorHAnsi" w:hAnsiTheme="minorHAnsi" w:cstheme="minorHAnsi"/>
                <w:sz w:val="20"/>
                <w:szCs w:val="20"/>
                <w:lang w:val="en-GB"/>
              </w:rPr>
              <w:t>.</w:t>
            </w:r>
            <w:r w:rsidR="00A92BBB" w:rsidRPr="0052201E">
              <w:rPr>
                <w:rFonts w:asciiTheme="minorHAnsi" w:hAnsiTheme="minorHAnsi" w:cstheme="minorHAnsi"/>
                <w:sz w:val="20"/>
                <w:szCs w:val="20"/>
                <w:lang w:val="en-GB"/>
              </w:rPr>
              <w:t>2</w:t>
            </w:r>
            <w:r w:rsidR="000C7208" w:rsidRPr="0052201E">
              <w:rPr>
                <w:rFonts w:asciiTheme="minorHAnsi" w:hAnsiTheme="minorHAnsi" w:cstheme="minorHAnsi"/>
                <w:sz w:val="20"/>
                <w:szCs w:val="20"/>
                <w:lang w:val="en-GB"/>
              </w:rPr>
              <w:t xml:space="preserve"> section 2 (3) item 5).</w:t>
            </w:r>
          </w:p>
        </w:tc>
        <w:tc>
          <w:tcPr>
            <w:tcW w:w="2552" w:type="dxa"/>
          </w:tcPr>
          <w:p w14:paraId="46189501" w14:textId="77777777" w:rsidR="00254D2D" w:rsidRPr="00116F07" w:rsidRDefault="00254D2D" w:rsidP="00355749">
            <w:pPr>
              <w:pStyle w:val="Default"/>
              <w:rPr>
                <w:rFonts w:asciiTheme="minorHAnsi" w:hAnsiTheme="minorHAnsi" w:cstheme="minorHAnsi"/>
                <w:sz w:val="20"/>
                <w:szCs w:val="20"/>
                <w:lang w:val="en-GB"/>
              </w:rPr>
            </w:pPr>
          </w:p>
        </w:tc>
      </w:tr>
      <w:tr w:rsidR="00254D2D" w:rsidRPr="00706E66" w14:paraId="2D8787D3" w14:textId="77777777" w:rsidTr="00355749">
        <w:tc>
          <w:tcPr>
            <w:tcW w:w="568" w:type="dxa"/>
          </w:tcPr>
          <w:p w14:paraId="397FDE04" w14:textId="07FCD803" w:rsidR="00254D2D" w:rsidRPr="00116F07" w:rsidRDefault="00D031CB" w:rsidP="00355749">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7</w:t>
            </w:r>
            <w:r w:rsidR="00254D2D" w:rsidRPr="00116F07">
              <w:rPr>
                <w:rFonts w:asciiTheme="minorHAnsi" w:hAnsiTheme="minorHAnsi" w:cstheme="minorHAnsi"/>
                <w:sz w:val="20"/>
                <w:szCs w:val="20"/>
                <w:lang w:val="en-GB"/>
              </w:rPr>
              <w:t>.</w:t>
            </w:r>
          </w:p>
        </w:tc>
        <w:tc>
          <w:tcPr>
            <w:tcW w:w="7087" w:type="dxa"/>
          </w:tcPr>
          <w:p w14:paraId="79751D69" w14:textId="44631794" w:rsidR="00254D2D" w:rsidRPr="0052201E" w:rsidRDefault="00254D2D" w:rsidP="00355749">
            <w:pPr>
              <w:pStyle w:val="Default"/>
              <w:rPr>
                <w:rFonts w:asciiTheme="minorHAnsi" w:hAnsiTheme="minorHAnsi" w:cstheme="minorHAnsi"/>
                <w:sz w:val="20"/>
                <w:szCs w:val="20"/>
                <w:lang w:val="en-GB"/>
              </w:rPr>
            </w:pPr>
            <w:r w:rsidRPr="0052201E">
              <w:rPr>
                <w:rFonts w:asciiTheme="minorHAnsi" w:hAnsiTheme="minorHAnsi" w:cstheme="minorHAnsi"/>
                <w:sz w:val="20"/>
                <w:szCs w:val="20"/>
                <w:lang w:val="en-GB"/>
              </w:rPr>
              <w:t>A printout of the Issuer’s shareholder register as at the date of application</w:t>
            </w:r>
            <w:r w:rsidR="000C7208" w:rsidRPr="0052201E">
              <w:rPr>
                <w:rFonts w:asciiTheme="minorHAnsi" w:hAnsiTheme="minorHAnsi" w:cstheme="minorHAnsi"/>
                <w:sz w:val="20"/>
                <w:szCs w:val="20"/>
                <w:lang w:val="en-GB"/>
              </w:rPr>
              <w:t xml:space="preserve"> (cf. Notice </w:t>
            </w:r>
            <w:r w:rsidR="00A92BBB" w:rsidRPr="0052201E">
              <w:rPr>
                <w:rFonts w:asciiTheme="minorHAnsi" w:hAnsiTheme="minorHAnsi" w:cstheme="minorHAnsi"/>
                <w:sz w:val="20"/>
                <w:szCs w:val="20"/>
                <w:lang w:val="en-GB"/>
              </w:rPr>
              <w:t>2</w:t>
            </w:r>
            <w:r w:rsidR="000C7208" w:rsidRPr="0052201E">
              <w:rPr>
                <w:rFonts w:asciiTheme="minorHAnsi" w:hAnsiTheme="minorHAnsi" w:cstheme="minorHAnsi"/>
                <w:sz w:val="20"/>
                <w:szCs w:val="20"/>
                <w:lang w:val="en-GB"/>
              </w:rPr>
              <w:t>.</w:t>
            </w:r>
            <w:r w:rsidR="00A92BBB" w:rsidRPr="0052201E">
              <w:rPr>
                <w:rFonts w:asciiTheme="minorHAnsi" w:hAnsiTheme="minorHAnsi" w:cstheme="minorHAnsi"/>
                <w:sz w:val="20"/>
                <w:szCs w:val="20"/>
                <w:lang w:val="en-GB"/>
              </w:rPr>
              <w:t>2</w:t>
            </w:r>
            <w:r w:rsidR="000C7208" w:rsidRPr="0052201E">
              <w:rPr>
                <w:rFonts w:asciiTheme="minorHAnsi" w:hAnsiTheme="minorHAnsi" w:cstheme="minorHAnsi"/>
                <w:sz w:val="20"/>
                <w:szCs w:val="20"/>
                <w:lang w:val="en-GB"/>
              </w:rPr>
              <w:t xml:space="preserve"> section 2 (3) item 6)</w:t>
            </w:r>
            <w:r w:rsidRPr="0052201E">
              <w:rPr>
                <w:rFonts w:asciiTheme="minorHAnsi" w:hAnsiTheme="minorHAnsi" w:cstheme="minorHAnsi"/>
                <w:sz w:val="20"/>
                <w:szCs w:val="20"/>
                <w:lang w:val="en-GB"/>
              </w:rPr>
              <w:t>.</w:t>
            </w:r>
          </w:p>
        </w:tc>
        <w:tc>
          <w:tcPr>
            <w:tcW w:w="2552" w:type="dxa"/>
          </w:tcPr>
          <w:p w14:paraId="1CF63CCF" w14:textId="77777777" w:rsidR="00254D2D" w:rsidRPr="00116F07" w:rsidRDefault="00254D2D" w:rsidP="00355749">
            <w:pPr>
              <w:pStyle w:val="Default"/>
              <w:rPr>
                <w:rFonts w:asciiTheme="minorHAnsi" w:hAnsiTheme="minorHAnsi" w:cstheme="minorHAnsi"/>
                <w:sz w:val="20"/>
                <w:szCs w:val="20"/>
                <w:lang w:val="en-GB"/>
              </w:rPr>
            </w:pPr>
          </w:p>
        </w:tc>
      </w:tr>
      <w:tr w:rsidR="00254D2D" w:rsidRPr="00706E66" w14:paraId="0CDC9070" w14:textId="77777777" w:rsidTr="00355749">
        <w:tc>
          <w:tcPr>
            <w:tcW w:w="568" w:type="dxa"/>
          </w:tcPr>
          <w:p w14:paraId="43726D17" w14:textId="09F7A8C2" w:rsidR="00254D2D" w:rsidRPr="00116F07" w:rsidRDefault="00D031CB" w:rsidP="00355749">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8</w:t>
            </w:r>
            <w:r w:rsidR="00254D2D" w:rsidRPr="00116F07">
              <w:rPr>
                <w:rFonts w:asciiTheme="minorHAnsi" w:hAnsiTheme="minorHAnsi" w:cstheme="minorHAnsi"/>
                <w:sz w:val="20"/>
                <w:szCs w:val="20"/>
                <w:lang w:val="en-GB"/>
              </w:rPr>
              <w:t>.</w:t>
            </w:r>
          </w:p>
        </w:tc>
        <w:tc>
          <w:tcPr>
            <w:tcW w:w="7087" w:type="dxa"/>
          </w:tcPr>
          <w:p w14:paraId="17CFD11E" w14:textId="420AB7B0" w:rsidR="00254D2D" w:rsidRPr="0052201E" w:rsidRDefault="00254D2D" w:rsidP="00355749">
            <w:pPr>
              <w:pStyle w:val="Default"/>
              <w:rPr>
                <w:rFonts w:asciiTheme="minorHAnsi" w:hAnsiTheme="minorHAnsi" w:cstheme="minorHAnsi"/>
                <w:sz w:val="20"/>
                <w:szCs w:val="20"/>
                <w:lang w:val="en-GB"/>
              </w:rPr>
            </w:pPr>
            <w:r w:rsidRPr="0052201E">
              <w:rPr>
                <w:rFonts w:asciiTheme="minorHAnsi" w:hAnsiTheme="minorHAnsi" w:cstheme="minorHAnsi"/>
                <w:sz w:val="20"/>
                <w:szCs w:val="20"/>
                <w:lang w:val="en-GB"/>
              </w:rPr>
              <w:t>CV’s for the members of the Issuer’s executive management and board of directors</w:t>
            </w:r>
            <w:r w:rsidR="000C7208" w:rsidRPr="0052201E">
              <w:rPr>
                <w:rFonts w:asciiTheme="minorHAnsi" w:hAnsiTheme="minorHAnsi" w:cstheme="minorHAnsi"/>
                <w:sz w:val="20"/>
                <w:szCs w:val="20"/>
                <w:lang w:val="en-GB"/>
              </w:rPr>
              <w:t xml:space="preserve"> (cf. Notice </w:t>
            </w:r>
            <w:r w:rsidR="00A92BBB" w:rsidRPr="0052201E">
              <w:rPr>
                <w:rFonts w:asciiTheme="minorHAnsi" w:hAnsiTheme="minorHAnsi" w:cstheme="minorHAnsi"/>
                <w:sz w:val="20"/>
                <w:szCs w:val="20"/>
                <w:lang w:val="en-GB"/>
              </w:rPr>
              <w:t>2</w:t>
            </w:r>
            <w:r w:rsidR="000C7208" w:rsidRPr="0052201E">
              <w:rPr>
                <w:rFonts w:asciiTheme="minorHAnsi" w:hAnsiTheme="minorHAnsi" w:cstheme="minorHAnsi"/>
                <w:sz w:val="20"/>
                <w:szCs w:val="20"/>
                <w:lang w:val="en-GB"/>
              </w:rPr>
              <w:t>.</w:t>
            </w:r>
            <w:r w:rsidR="00A92BBB" w:rsidRPr="0052201E">
              <w:rPr>
                <w:rFonts w:asciiTheme="minorHAnsi" w:hAnsiTheme="minorHAnsi" w:cstheme="minorHAnsi"/>
                <w:sz w:val="20"/>
                <w:szCs w:val="20"/>
                <w:lang w:val="en-GB"/>
              </w:rPr>
              <w:t>2</w:t>
            </w:r>
            <w:r w:rsidR="000C7208" w:rsidRPr="0052201E">
              <w:rPr>
                <w:rFonts w:asciiTheme="minorHAnsi" w:hAnsiTheme="minorHAnsi" w:cstheme="minorHAnsi"/>
                <w:sz w:val="20"/>
                <w:szCs w:val="20"/>
                <w:lang w:val="en-GB"/>
              </w:rPr>
              <w:t xml:space="preserve"> section 2 (3) item 7)</w:t>
            </w:r>
            <w:r w:rsidRPr="0052201E">
              <w:rPr>
                <w:rFonts w:asciiTheme="minorHAnsi" w:hAnsiTheme="minorHAnsi" w:cstheme="minorHAnsi"/>
                <w:sz w:val="20"/>
                <w:szCs w:val="20"/>
                <w:lang w:val="en-GB"/>
              </w:rPr>
              <w:t>.</w:t>
            </w:r>
          </w:p>
        </w:tc>
        <w:tc>
          <w:tcPr>
            <w:tcW w:w="2552" w:type="dxa"/>
          </w:tcPr>
          <w:p w14:paraId="1A96237F" w14:textId="77777777" w:rsidR="00254D2D" w:rsidRPr="00116F07" w:rsidRDefault="00254D2D" w:rsidP="00355749">
            <w:pPr>
              <w:pStyle w:val="Default"/>
              <w:rPr>
                <w:rFonts w:asciiTheme="minorHAnsi" w:hAnsiTheme="minorHAnsi" w:cstheme="minorHAnsi"/>
                <w:sz w:val="20"/>
                <w:szCs w:val="20"/>
                <w:lang w:val="en-GB"/>
              </w:rPr>
            </w:pPr>
          </w:p>
        </w:tc>
      </w:tr>
    </w:tbl>
    <w:p w14:paraId="0E8E71B7" w14:textId="77777777" w:rsidR="00202A93" w:rsidRPr="00A76040" w:rsidRDefault="00202A93" w:rsidP="00F8547E">
      <w:pPr>
        <w:rPr>
          <w:sz w:val="20"/>
          <w:lang w:val="en-GB"/>
        </w:rPr>
      </w:pPr>
    </w:p>
    <w:p w14:paraId="09AD2F22" w14:textId="77777777" w:rsidR="00202A93" w:rsidRPr="00A76040" w:rsidRDefault="00202A93" w:rsidP="00F8547E">
      <w:pPr>
        <w:rPr>
          <w:sz w:val="20"/>
          <w:lang w:val="en-GB"/>
        </w:rPr>
      </w:pPr>
    </w:p>
    <w:p w14:paraId="53F5E0ED" w14:textId="77777777" w:rsidR="00202A93" w:rsidRPr="00A76040" w:rsidRDefault="00202A93" w:rsidP="00F8547E">
      <w:pPr>
        <w:rPr>
          <w:sz w:val="20"/>
          <w:lang w:val="en-GB"/>
        </w:rPr>
      </w:pPr>
    </w:p>
    <w:p w14:paraId="5AE640A6" w14:textId="430DD102" w:rsidR="00F8547E" w:rsidRPr="00A76040" w:rsidRDefault="00F8547E" w:rsidP="00F8547E">
      <w:pPr>
        <w:rPr>
          <w:sz w:val="20"/>
          <w:lang w:val="en-GB"/>
        </w:rPr>
      </w:pPr>
    </w:p>
    <w:p w14:paraId="662D0BBC" w14:textId="77777777" w:rsidR="007B515F" w:rsidRPr="007B515F" w:rsidRDefault="007B515F" w:rsidP="007B515F">
      <w:pPr>
        <w:rPr>
          <w:rFonts w:eastAsia="Calibri" w:cs="Times New Roman"/>
          <w:lang w:val="en-GB"/>
        </w:rPr>
      </w:pPr>
    </w:p>
    <w:sectPr w:rsidR="007B515F" w:rsidRPr="007B515F" w:rsidSect="001549E1">
      <w:headerReference w:type="default" r:id="rId13"/>
      <w:footerReference w:type="default" r:id="rId14"/>
      <w:pgSz w:w="11906" w:h="16838"/>
      <w:pgMar w:top="1361" w:right="1418" w:bottom="1418"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B06E" w14:textId="77777777" w:rsidR="0040728C" w:rsidRDefault="0040728C" w:rsidP="00A87CFA">
      <w:r>
        <w:separator/>
      </w:r>
    </w:p>
  </w:endnote>
  <w:endnote w:type="continuationSeparator" w:id="0">
    <w:p w14:paraId="1A80A281" w14:textId="77777777" w:rsidR="0040728C" w:rsidRDefault="0040728C" w:rsidP="00A8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2032" w14:textId="190C035E" w:rsidR="00F0207D" w:rsidRDefault="00706E66">
    <w:pPr>
      <w:pStyle w:val="Footer"/>
      <w:jc w:val="right"/>
    </w:pPr>
    <w:sdt>
      <w:sdtPr>
        <w:id w:val="-968351569"/>
        <w:docPartObj>
          <w:docPartGallery w:val="Page Numbers (Bottom of Page)"/>
          <w:docPartUnique/>
        </w:docPartObj>
      </w:sdtPr>
      <w:sdtEndPr/>
      <w:sdtContent>
        <w:sdt>
          <w:sdtPr>
            <w:id w:val="-1769616900"/>
            <w:docPartObj>
              <w:docPartGallery w:val="Page Numbers (Top of Page)"/>
              <w:docPartUnique/>
            </w:docPartObj>
          </w:sdtPr>
          <w:sdtEndPr/>
          <w:sdtContent>
            <w:r w:rsidR="00F0207D" w:rsidRPr="008622AA">
              <w:rPr>
                <w:bCs/>
                <w:sz w:val="20"/>
                <w:szCs w:val="20"/>
              </w:rPr>
              <w:fldChar w:fldCharType="begin"/>
            </w:r>
            <w:r w:rsidR="00F0207D" w:rsidRPr="008622AA">
              <w:rPr>
                <w:bCs/>
                <w:sz w:val="20"/>
                <w:szCs w:val="20"/>
              </w:rPr>
              <w:instrText>PAGE</w:instrText>
            </w:r>
            <w:r w:rsidR="00F0207D" w:rsidRPr="008622AA">
              <w:rPr>
                <w:bCs/>
                <w:sz w:val="20"/>
                <w:szCs w:val="20"/>
              </w:rPr>
              <w:fldChar w:fldCharType="separate"/>
            </w:r>
            <w:r w:rsidR="00F0207D" w:rsidRPr="008622AA">
              <w:rPr>
                <w:bCs/>
                <w:sz w:val="20"/>
                <w:szCs w:val="20"/>
              </w:rPr>
              <w:t>2</w:t>
            </w:r>
            <w:r w:rsidR="00F0207D" w:rsidRPr="008622AA">
              <w:rPr>
                <w:bCs/>
                <w:sz w:val="20"/>
                <w:szCs w:val="20"/>
              </w:rPr>
              <w:fldChar w:fldCharType="end"/>
            </w:r>
            <w:r w:rsidR="00F0207D" w:rsidRPr="008622AA">
              <w:rPr>
                <w:sz w:val="20"/>
                <w:szCs w:val="20"/>
              </w:rPr>
              <w:t xml:space="preserve"> </w:t>
            </w:r>
            <w:r w:rsidR="00F0207D">
              <w:rPr>
                <w:sz w:val="20"/>
                <w:szCs w:val="20"/>
              </w:rPr>
              <w:t>/</w:t>
            </w:r>
            <w:r w:rsidR="00F0207D" w:rsidRPr="008622AA">
              <w:rPr>
                <w:sz w:val="20"/>
                <w:szCs w:val="20"/>
              </w:rPr>
              <w:t xml:space="preserve"> </w:t>
            </w:r>
            <w:r w:rsidR="00F0207D" w:rsidRPr="008622AA">
              <w:rPr>
                <w:bCs/>
                <w:sz w:val="20"/>
                <w:szCs w:val="20"/>
              </w:rPr>
              <w:fldChar w:fldCharType="begin"/>
            </w:r>
            <w:r w:rsidR="00F0207D" w:rsidRPr="008622AA">
              <w:rPr>
                <w:bCs/>
                <w:sz w:val="20"/>
                <w:szCs w:val="20"/>
              </w:rPr>
              <w:instrText>NUMPAGES</w:instrText>
            </w:r>
            <w:r w:rsidR="00F0207D" w:rsidRPr="008622AA">
              <w:rPr>
                <w:bCs/>
                <w:sz w:val="20"/>
                <w:szCs w:val="20"/>
              </w:rPr>
              <w:fldChar w:fldCharType="separate"/>
            </w:r>
            <w:r w:rsidR="00F0207D" w:rsidRPr="008622AA">
              <w:rPr>
                <w:bCs/>
                <w:sz w:val="20"/>
                <w:szCs w:val="20"/>
              </w:rPr>
              <w:t>2</w:t>
            </w:r>
            <w:r w:rsidR="00F0207D" w:rsidRPr="008622AA">
              <w:rPr>
                <w:bCs/>
                <w:sz w:val="20"/>
                <w:szCs w:val="20"/>
              </w:rPr>
              <w:fldChar w:fldCharType="end"/>
            </w:r>
          </w:sdtContent>
        </w:sdt>
      </w:sdtContent>
    </w:sdt>
  </w:p>
  <w:p w14:paraId="6195CDCB" w14:textId="1D67A29D" w:rsidR="00F0207D" w:rsidRPr="009B7A21" w:rsidRDefault="00F0207D" w:rsidP="001549E1">
    <w:pPr>
      <w:pStyle w:val="Footer"/>
      <w:jc w:val="center"/>
      <w:rPr>
        <w:color w:val="FFFFFF" w:themeColor="background1"/>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6916" w14:textId="77777777" w:rsidR="0040728C" w:rsidRDefault="0040728C" w:rsidP="00A87CFA">
      <w:r>
        <w:separator/>
      </w:r>
    </w:p>
  </w:footnote>
  <w:footnote w:type="continuationSeparator" w:id="0">
    <w:p w14:paraId="0A346501" w14:textId="77777777" w:rsidR="0040728C" w:rsidRDefault="0040728C" w:rsidP="00A87CFA">
      <w:r>
        <w:continuationSeparator/>
      </w:r>
    </w:p>
  </w:footnote>
  <w:footnote w:id="1">
    <w:p w14:paraId="5C023DB8" w14:textId="77777777" w:rsidR="00F0207D" w:rsidRPr="0026581F" w:rsidRDefault="00F0207D" w:rsidP="00254D2D">
      <w:pPr>
        <w:pStyle w:val="FootnoteText"/>
        <w:spacing w:after="0"/>
        <w:rPr>
          <w:rFonts w:asciiTheme="minorHAnsi" w:hAnsiTheme="minorHAnsi" w:cstheme="minorHAnsi"/>
          <w:sz w:val="18"/>
          <w:szCs w:val="18"/>
          <w:lang w:val="en-US"/>
        </w:rPr>
      </w:pPr>
      <w:r w:rsidRPr="0026581F">
        <w:rPr>
          <w:rStyle w:val="FootnoteReference"/>
          <w:rFonts w:asciiTheme="minorHAnsi" w:hAnsiTheme="minorHAnsi" w:cstheme="minorHAnsi"/>
          <w:sz w:val="18"/>
          <w:szCs w:val="18"/>
        </w:rPr>
        <w:footnoteRef/>
      </w:r>
      <w:r w:rsidRPr="0026581F">
        <w:rPr>
          <w:rFonts w:asciiTheme="minorHAnsi" w:hAnsiTheme="minorHAnsi" w:cstheme="minorHAnsi"/>
          <w:sz w:val="18"/>
          <w:szCs w:val="18"/>
          <w:lang w:val="en-US"/>
        </w:rPr>
        <w:t xml:space="preserve"> Some specific requirements apply for the </w:t>
      </w:r>
      <w:r>
        <w:rPr>
          <w:rFonts w:asciiTheme="minorHAnsi" w:hAnsiTheme="minorHAnsi" w:cstheme="minorHAnsi"/>
          <w:sz w:val="18"/>
          <w:szCs w:val="18"/>
          <w:lang w:val="en-US"/>
        </w:rPr>
        <w:t>admission to trading</w:t>
      </w:r>
      <w:r w:rsidRPr="0026581F">
        <w:rPr>
          <w:rFonts w:asciiTheme="minorHAnsi" w:hAnsiTheme="minorHAnsi" w:cstheme="minorHAnsi"/>
          <w:sz w:val="18"/>
          <w:szCs w:val="18"/>
          <w:lang w:val="en-US"/>
        </w:rPr>
        <w:t xml:space="preserve"> of foreign </w:t>
      </w:r>
      <w:r>
        <w:rPr>
          <w:rFonts w:asciiTheme="minorHAnsi" w:hAnsiTheme="minorHAnsi" w:cstheme="minorHAnsi"/>
          <w:sz w:val="18"/>
          <w:szCs w:val="18"/>
          <w:lang w:val="en-US"/>
        </w:rPr>
        <w:t>Issuers (stated where relevant)</w:t>
      </w:r>
      <w:r w:rsidRPr="00E44402">
        <w:rPr>
          <w:rFonts w:asciiTheme="minorHAnsi" w:hAnsiTheme="minorHAnsi" w:cstheme="minorHAnsi"/>
          <w:sz w:val="18"/>
          <w:szCs w:val="18"/>
          <w:lang w:val="en-US"/>
        </w:rPr>
        <w:t>.</w:t>
      </w:r>
    </w:p>
  </w:footnote>
  <w:footnote w:id="2">
    <w:p w14:paraId="5D06A438" w14:textId="77777777" w:rsidR="00F0207D" w:rsidRPr="0026581F" w:rsidRDefault="00F0207D" w:rsidP="00254D2D">
      <w:pPr>
        <w:rPr>
          <w:rFonts w:cstheme="minorHAnsi"/>
          <w:sz w:val="18"/>
          <w:szCs w:val="18"/>
          <w:lang w:val="en-US"/>
        </w:rPr>
      </w:pPr>
      <w:r w:rsidRPr="0026581F">
        <w:rPr>
          <w:rStyle w:val="FootnoteReference"/>
          <w:rFonts w:cstheme="minorHAnsi"/>
          <w:sz w:val="18"/>
          <w:szCs w:val="18"/>
        </w:rPr>
        <w:footnoteRef/>
      </w:r>
      <w:r w:rsidRPr="0026581F">
        <w:rPr>
          <w:rFonts w:cstheme="minorHAnsi"/>
          <w:sz w:val="18"/>
          <w:szCs w:val="18"/>
          <w:lang w:val="en-US"/>
        </w:rPr>
        <w:t xml:space="preserve"> Areas marked grey </w:t>
      </w:r>
      <w:r w:rsidRPr="00313187">
        <w:rPr>
          <w:rFonts w:cstheme="minorHAnsi"/>
          <w:sz w:val="18"/>
          <w:szCs w:val="18"/>
          <w:lang w:val="en-US"/>
        </w:rPr>
        <w:t xml:space="preserve">are not available options, and </w:t>
      </w:r>
      <w:r>
        <w:rPr>
          <w:rFonts w:cstheme="minorHAnsi"/>
          <w:sz w:val="18"/>
          <w:szCs w:val="18"/>
          <w:lang w:val="en-US"/>
        </w:rPr>
        <w:t>shall</w:t>
      </w:r>
      <w:r w:rsidRPr="00313187">
        <w:rPr>
          <w:rFonts w:cstheme="minorHAnsi"/>
          <w:sz w:val="18"/>
          <w:szCs w:val="18"/>
          <w:lang w:val="en-US"/>
        </w:rPr>
        <w:t xml:space="preserve"> not be ticked off. </w:t>
      </w:r>
    </w:p>
  </w:footnote>
  <w:footnote w:id="3">
    <w:p w14:paraId="62D6D328" w14:textId="77777777" w:rsidR="00F0207D" w:rsidRPr="0026581F" w:rsidRDefault="00F0207D" w:rsidP="00254D2D">
      <w:pPr>
        <w:pStyle w:val="FootnoteText"/>
        <w:spacing w:after="0"/>
        <w:rPr>
          <w:rFonts w:asciiTheme="minorHAnsi" w:hAnsiTheme="minorHAnsi" w:cstheme="minorHAnsi"/>
          <w:sz w:val="18"/>
          <w:szCs w:val="18"/>
          <w:lang w:val="en-US"/>
        </w:rPr>
      </w:pPr>
      <w:r w:rsidRPr="0026581F">
        <w:rPr>
          <w:rStyle w:val="FootnoteReference"/>
          <w:rFonts w:asciiTheme="minorHAnsi" w:hAnsiTheme="minorHAnsi" w:cstheme="minorHAnsi"/>
          <w:sz w:val="18"/>
          <w:szCs w:val="18"/>
        </w:rPr>
        <w:footnoteRef/>
      </w:r>
      <w:r w:rsidRPr="0026581F">
        <w:rPr>
          <w:rStyle w:val="FootnoteReference"/>
          <w:rFonts w:asciiTheme="minorHAnsi" w:hAnsiTheme="minorHAnsi" w:cstheme="minorHAnsi"/>
          <w:sz w:val="18"/>
          <w:szCs w:val="18"/>
          <w:lang w:val="en-US"/>
        </w:rPr>
        <w:t xml:space="preserve"> </w:t>
      </w:r>
      <w:r w:rsidRPr="0026581F">
        <w:rPr>
          <w:rFonts w:asciiTheme="minorHAnsi" w:hAnsiTheme="minorHAnsi" w:cstheme="minorHAnsi"/>
          <w:sz w:val="18"/>
          <w:szCs w:val="18"/>
          <w:lang w:val="en-US"/>
        </w:rPr>
        <w:t xml:space="preserve">“Condition for </w:t>
      </w:r>
      <w:r>
        <w:rPr>
          <w:rFonts w:asciiTheme="minorHAnsi" w:hAnsiTheme="minorHAnsi" w:cstheme="minorHAnsi"/>
          <w:sz w:val="18"/>
          <w:szCs w:val="18"/>
          <w:lang w:val="en-US"/>
        </w:rPr>
        <w:t>admission to trading</w:t>
      </w:r>
      <w:r w:rsidRPr="0026581F">
        <w:rPr>
          <w:rFonts w:asciiTheme="minorHAnsi" w:hAnsiTheme="minorHAnsi" w:cstheme="minorHAnsi"/>
          <w:sz w:val="18"/>
          <w:szCs w:val="18"/>
          <w:lang w:val="en-US"/>
        </w:rPr>
        <w:t xml:space="preserve">”: Any </w:t>
      </w:r>
      <w:r w:rsidRPr="00313187">
        <w:rPr>
          <w:rFonts w:asciiTheme="minorHAnsi" w:hAnsiTheme="minorHAnsi" w:cstheme="minorHAnsi"/>
          <w:sz w:val="18"/>
          <w:szCs w:val="18"/>
          <w:lang w:val="en-US"/>
        </w:rPr>
        <w:t>admission to trading criteria</w:t>
      </w:r>
      <w:r w:rsidRPr="0026581F">
        <w:rPr>
          <w:rFonts w:asciiTheme="minorHAnsi" w:hAnsiTheme="minorHAnsi" w:cstheme="minorHAnsi"/>
          <w:sz w:val="18"/>
          <w:szCs w:val="18"/>
          <w:lang w:val="en-US"/>
        </w:rPr>
        <w:t xml:space="preserve"> that will not be in place prior to Oslo Børs approving </w:t>
      </w:r>
      <w:r>
        <w:rPr>
          <w:rFonts w:asciiTheme="minorHAnsi" w:hAnsiTheme="minorHAnsi" w:cstheme="minorHAnsi"/>
          <w:sz w:val="18"/>
          <w:szCs w:val="18"/>
          <w:lang w:val="en-US"/>
        </w:rPr>
        <w:t>admission to trading</w:t>
      </w:r>
      <w:r w:rsidRPr="0026581F">
        <w:rPr>
          <w:rFonts w:asciiTheme="minorHAnsi" w:hAnsiTheme="minorHAnsi" w:cstheme="minorHAnsi"/>
          <w:sz w:val="18"/>
          <w:szCs w:val="18"/>
          <w:lang w:val="en-US"/>
        </w:rPr>
        <w:t xml:space="preserve">, but that will be satisfied </w:t>
      </w:r>
      <w:r w:rsidRPr="0026581F">
        <w:rPr>
          <w:rFonts w:asciiTheme="minorHAnsi" w:hAnsiTheme="minorHAnsi" w:cstheme="minorHAnsi"/>
          <w:i/>
          <w:sz w:val="18"/>
          <w:szCs w:val="18"/>
          <w:lang w:val="en-US"/>
        </w:rPr>
        <w:t>prior to the first day of trading</w:t>
      </w:r>
      <w:r w:rsidRPr="0026581F">
        <w:rPr>
          <w:rFonts w:asciiTheme="minorHAnsi" w:hAnsiTheme="minorHAnsi" w:cstheme="minorHAnsi"/>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7467" w14:textId="6A610F5F" w:rsidR="00F0207D" w:rsidRDefault="00F0207D">
    <w:pPr>
      <w:pStyle w:val="Header"/>
    </w:pPr>
    <w:r>
      <w:rPr>
        <w:noProof/>
        <w:lang w:eastAsia="nb-NO"/>
      </w:rPr>
      <w:drawing>
        <wp:anchor distT="0" distB="0" distL="114300" distR="114300" simplePos="0" relativeHeight="251659264" behindDoc="0" locked="0" layoutInCell="1" allowOverlap="1" wp14:anchorId="28979591" wp14:editId="3C94CBB5">
          <wp:simplePos x="0" y="0"/>
          <wp:positionH relativeFrom="margin">
            <wp:align>right</wp:align>
          </wp:positionH>
          <wp:positionV relativeFrom="paragraph">
            <wp:posOffset>-267335</wp:posOffset>
          </wp:positionV>
          <wp:extent cx="1616075" cy="680462"/>
          <wp:effectExtent l="0" t="0" r="3175" b="571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680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E56"/>
    <w:multiLevelType w:val="hybridMultilevel"/>
    <w:tmpl w:val="66BCA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F20CE2"/>
    <w:multiLevelType w:val="multilevel"/>
    <w:tmpl w:val="183C0320"/>
    <w:lvl w:ilvl="0">
      <w:start w:val="1"/>
      <w:numFmt w:val="decimal"/>
      <w:pStyle w:val="Heading1"/>
      <w:lvlText w:val="%1."/>
      <w:lvlJc w:val="left"/>
      <w:pPr>
        <w:tabs>
          <w:tab w:val="num" w:pos="0"/>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0"/>
        </w:tabs>
        <w:ind w:left="851" w:hanging="851"/>
      </w:pPr>
      <w:rPr>
        <w:rFonts w:hint="default"/>
        <w:b/>
      </w:rPr>
    </w:lvl>
    <w:lvl w:ilvl="2">
      <w:start w:val="1"/>
      <w:numFmt w:val="decimal"/>
      <w:pStyle w:val="Heading3"/>
      <w:lvlText w:val="%1.%2.%3"/>
      <w:lvlJc w:val="left"/>
      <w:pPr>
        <w:tabs>
          <w:tab w:val="num" w:pos="0"/>
        </w:tabs>
        <w:ind w:left="851" w:hanging="851"/>
      </w:pPr>
      <w:rPr>
        <w:rFonts w:hint="default"/>
        <w:b/>
        <w:sz w:val="20"/>
        <w:szCs w:val="20"/>
      </w:rPr>
    </w:lvl>
    <w:lvl w:ilvl="3">
      <w:start w:val="1"/>
      <w:numFmt w:val="decimal"/>
      <w:pStyle w:val="Heading4"/>
      <w:lvlText w:val="%1.%2.%3.%4"/>
      <w:lvlJc w:val="left"/>
      <w:pPr>
        <w:tabs>
          <w:tab w:val="num" w:pos="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15:restartNumberingAfterBreak="0">
    <w:nsid w:val="0BBD0549"/>
    <w:multiLevelType w:val="hybridMultilevel"/>
    <w:tmpl w:val="21B0A0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012550"/>
    <w:multiLevelType w:val="hybridMultilevel"/>
    <w:tmpl w:val="3FBC9396"/>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F973FAB"/>
    <w:multiLevelType w:val="hybridMultilevel"/>
    <w:tmpl w:val="0AE68F92"/>
    <w:lvl w:ilvl="0" w:tplc="04140001">
      <w:start w:val="1"/>
      <w:numFmt w:val="bullet"/>
      <w:lvlText w:val=""/>
      <w:lvlJc w:val="left"/>
      <w:pPr>
        <w:ind w:left="2124" w:hanging="360"/>
      </w:pPr>
      <w:rPr>
        <w:rFonts w:ascii="Symbol" w:hAnsi="Symbol" w:hint="default"/>
      </w:rPr>
    </w:lvl>
    <w:lvl w:ilvl="1" w:tplc="04140003">
      <w:start w:val="1"/>
      <w:numFmt w:val="bullet"/>
      <w:lvlText w:val="o"/>
      <w:lvlJc w:val="left"/>
      <w:pPr>
        <w:ind w:left="2844" w:hanging="360"/>
      </w:pPr>
      <w:rPr>
        <w:rFonts w:ascii="Courier New" w:hAnsi="Courier New" w:cs="Courier New" w:hint="default"/>
      </w:rPr>
    </w:lvl>
    <w:lvl w:ilvl="2" w:tplc="04140005" w:tentative="1">
      <w:start w:val="1"/>
      <w:numFmt w:val="bullet"/>
      <w:lvlText w:val=""/>
      <w:lvlJc w:val="left"/>
      <w:pPr>
        <w:ind w:left="3564" w:hanging="360"/>
      </w:pPr>
      <w:rPr>
        <w:rFonts w:ascii="Wingdings" w:hAnsi="Wingdings" w:hint="default"/>
      </w:rPr>
    </w:lvl>
    <w:lvl w:ilvl="3" w:tplc="04140001" w:tentative="1">
      <w:start w:val="1"/>
      <w:numFmt w:val="bullet"/>
      <w:lvlText w:val=""/>
      <w:lvlJc w:val="left"/>
      <w:pPr>
        <w:ind w:left="4284" w:hanging="360"/>
      </w:pPr>
      <w:rPr>
        <w:rFonts w:ascii="Symbol" w:hAnsi="Symbol" w:hint="default"/>
      </w:rPr>
    </w:lvl>
    <w:lvl w:ilvl="4" w:tplc="04140003" w:tentative="1">
      <w:start w:val="1"/>
      <w:numFmt w:val="bullet"/>
      <w:lvlText w:val="o"/>
      <w:lvlJc w:val="left"/>
      <w:pPr>
        <w:ind w:left="5004" w:hanging="360"/>
      </w:pPr>
      <w:rPr>
        <w:rFonts w:ascii="Courier New" w:hAnsi="Courier New" w:cs="Courier New" w:hint="default"/>
      </w:rPr>
    </w:lvl>
    <w:lvl w:ilvl="5" w:tplc="04140005" w:tentative="1">
      <w:start w:val="1"/>
      <w:numFmt w:val="bullet"/>
      <w:lvlText w:val=""/>
      <w:lvlJc w:val="left"/>
      <w:pPr>
        <w:ind w:left="5724" w:hanging="360"/>
      </w:pPr>
      <w:rPr>
        <w:rFonts w:ascii="Wingdings" w:hAnsi="Wingdings" w:hint="default"/>
      </w:rPr>
    </w:lvl>
    <w:lvl w:ilvl="6" w:tplc="04140001" w:tentative="1">
      <w:start w:val="1"/>
      <w:numFmt w:val="bullet"/>
      <w:lvlText w:val=""/>
      <w:lvlJc w:val="left"/>
      <w:pPr>
        <w:ind w:left="6444" w:hanging="360"/>
      </w:pPr>
      <w:rPr>
        <w:rFonts w:ascii="Symbol" w:hAnsi="Symbol" w:hint="default"/>
      </w:rPr>
    </w:lvl>
    <w:lvl w:ilvl="7" w:tplc="04140003" w:tentative="1">
      <w:start w:val="1"/>
      <w:numFmt w:val="bullet"/>
      <w:lvlText w:val="o"/>
      <w:lvlJc w:val="left"/>
      <w:pPr>
        <w:ind w:left="7164" w:hanging="360"/>
      </w:pPr>
      <w:rPr>
        <w:rFonts w:ascii="Courier New" w:hAnsi="Courier New" w:cs="Courier New" w:hint="default"/>
      </w:rPr>
    </w:lvl>
    <w:lvl w:ilvl="8" w:tplc="04140005" w:tentative="1">
      <w:start w:val="1"/>
      <w:numFmt w:val="bullet"/>
      <w:lvlText w:val=""/>
      <w:lvlJc w:val="left"/>
      <w:pPr>
        <w:ind w:left="7884" w:hanging="360"/>
      </w:pPr>
      <w:rPr>
        <w:rFonts w:ascii="Wingdings" w:hAnsi="Wingdings" w:hint="default"/>
      </w:rPr>
    </w:lvl>
  </w:abstractNum>
  <w:abstractNum w:abstractNumId="5" w15:restartNumberingAfterBreak="0">
    <w:nsid w:val="0FBD7B60"/>
    <w:multiLevelType w:val="hybridMultilevel"/>
    <w:tmpl w:val="16E80C18"/>
    <w:lvl w:ilvl="0" w:tplc="504013CA">
      <w:start w:val="1"/>
      <w:numFmt w:val="decimal"/>
      <w:lvlText w:val="(%1)"/>
      <w:lvlJc w:val="left"/>
      <w:pPr>
        <w:ind w:left="360" w:hanging="360"/>
      </w:pPr>
      <w:rPr>
        <w:rFonts w:hint="default"/>
        <w:b w:val="0"/>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12576B2"/>
    <w:multiLevelType w:val="hybridMultilevel"/>
    <w:tmpl w:val="C4B83D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64C1290"/>
    <w:multiLevelType w:val="hybridMultilevel"/>
    <w:tmpl w:val="BAC6B430"/>
    <w:lvl w:ilvl="0" w:tplc="92C87C7E">
      <w:start w:val="1"/>
      <w:numFmt w:val="lowerRoman"/>
      <w:lvlText w:val="(%1)"/>
      <w:lvlJc w:val="left"/>
      <w:pPr>
        <w:ind w:left="720" w:hanging="360"/>
      </w:pPr>
      <w:rPr>
        <w:rFonts w:asciiTheme="minorHAnsi" w:hAnsiTheme="minorHAnsi" w:hint="default"/>
        <w:color w:val="9BBFE7" w:themeColor="accent6"/>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6B37FE4"/>
    <w:multiLevelType w:val="hybridMultilevel"/>
    <w:tmpl w:val="77E402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872053C"/>
    <w:multiLevelType w:val="hybridMultilevel"/>
    <w:tmpl w:val="E49E3634"/>
    <w:lvl w:ilvl="0" w:tplc="405A30F0">
      <w:start w:val="2"/>
      <w:numFmt w:val="bullet"/>
      <w:lvlText w:val="-"/>
      <w:lvlJc w:val="left"/>
      <w:pPr>
        <w:ind w:left="1776" w:hanging="360"/>
      </w:pPr>
      <w:rPr>
        <w:rFonts w:ascii="Calibri" w:eastAsia="MS Mincho" w:hAnsi="Calibri"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25586683"/>
    <w:multiLevelType w:val="hybridMultilevel"/>
    <w:tmpl w:val="E1727D4E"/>
    <w:lvl w:ilvl="0" w:tplc="92C87C7E">
      <w:start w:val="1"/>
      <w:numFmt w:val="lowerRoman"/>
      <w:lvlText w:val="(%1)"/>
      <w:lvlJc w:val="left"/>
      <w:pPr>
        <w:ind w:left="720" w:hanging="360"/>
      </w:pPr>
      <w:rPr>
        <w:rFonts w:asciiTheme="minorHAnsi" w:hAnsiTheme="minorHAnsi" w:hint="default"/>
        <w:color w:val="9BBFE7" w:themeColor="accent6"/>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6D61961"/>
    <w:multiLevelType w:val="hybridMultilevel"/>
    <w:tmpl w:val="BB7641AA"/>
    <w:lvl w:ilvl="0" w:tplc="58A0442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74942A9"/>
    <w:multiLevelType w:val="hybridMultilevel"/>
    <w:tmpl w:val="CE1CBE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77D2452"/>
    <w:multiLevelType w:val="hybridMultilevel"/>
    <w:tmpl w:val="089C96EC"/>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29393B54"/>
    <w:multiLevelType w:val="hybridMultilevel"/>
    <w:tmpl w:val="32FC4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BA87926"/>
    <w:multiLevelType w:val="hybridMultilevel"/>
    <w:tmpl w:val="B3DED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E5F3410"/>
    <w:multiLevelType w:val="hybridMultilevel"/>
    <w:tmpl w:val="3C7CD51A"/>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30AF75CC"/>
    <w:multiLevelType w:val="hybridMultilevel"/>
    <w:tmpl w:val="4DBE0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11D576C"/>
    <w:multiLevelType w:val="hybridMultilevel"/>
    <w:tmpl w:val="BB181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22A4567"/>
    <w:multiLevelType w:val="hybridMultilevel"/>
    <w:tmpl w:val="9F5AA87A"/>
    <w:lvl w:ilvl="0" w:tplc="FD0EB452">
      <w:start w:val="4"/>
      <w:numFmt w:val="decimal"/>
      <w:lvlText w:val="(%1)"/>
      <w:lvlJc w:val="left"/>
      <w:pPr>
        <w:ind w:left="360" w:hanging="360"/>
      </w:pPr>
      <w:rPr>
        <w:rFonts w:hint="default"/>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334CDC"/>
    <w:multiLevelType w:val="hybridMultilevel"/>
    <w:tmpl w:val="B3CACDB4"/>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386A792B"/>
    <w:multiLevelType w:val="hybridMultilevel"/>
    <w:tmpl w:val="A440BD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4A05DA"/>
    <w:multiLevelType w:val="hybridMultilevel"/>
    <w:tmpl w:val="4CCC8E10"/>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40E97793"/>
    <w:multiLevelType w:val="hybridMultilevel"/>
    <w:tmpl w:val="8A320AD8"/>
    <w:lvl w:ilvl="0" w:tplc="04140001">
      <w:start w:val="1"/>
      <w:numFmt w:val="bullet"/>
      <w:pStyle w:val="Nummerinnrykk4"/>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56208A3"/>
    <w:multiLevelType w:val="hybridMultilevel"/>
    <w:tmpl w:val="4588DA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8191F30"/>
    <w:multiLevelType w:val="hybridMultilevel"/>
    <w:tmpl w:val="5CF0C0DA"/>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4E9E3EB2"/>
    <w:multiLevelType w:val="hybridMultilevel"/>
    <w:tmpl w:val="075A4E94"/>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53E25DF1"/>
    <w:multiLevelType w:val="hybridMultilevel"/>
    <w:tmpl w:val="55E83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47F652A"/>
    <w:multiLevelType w:val="hybridMultilevel"/>
    <w:tmpl w:val="124C52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67382"/>
    <w:multiLevelType w:val="hybridMultilevel"/>
    <w:tmpl w:val="104A6B20"/>
    <w:lvl w:ilvl="0" w:tplc="3124905A">
      <w:start w:val="2"/>
      <w:numFmt w:val="decimal"/>
      <w:lvlText w:val="(%1)"/>
      <w:lvlJc w:val="left"/>
      <w:pPr>
        <w:ind w:left="360" w:hanging="360"/>
      </w:pPr>
      <w:rPr>
        <w:rFonts w:hint="default"/>
        <w:color w:val="FF0000"/>
      </w:rPr>
    </w:lvl>
    <w:lvl w:ilvl="1" w:tplc="6938E9BC">
      <w:start w:val="1"/>
      <w:numFmt w:val="decimal"/>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A9F51B8"/>
    <w:multiLevelType w:val="hybridMultilevel"/>
    <w:tmpl w:val="8BBAE9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B7E3538"/>
    <w:multiLevelType w:val="hybridMultilevel"/>
    <w:tmpl w:val="B3EE60C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5E9241D3"/>
    <w:multiLevelType w:val="hybridMultilevel"/>
    <w:tmpl w:val="88D03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17C1F92"/>
    <w:multiLevelType w:val="hybridMultilevel"/>
    <w:tmpl w:val="D054D3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20C3AA3"/>
    <w:multiLevelType w:val="hybridMultilevel"/>
    <w:tmpl w:val="83F49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9110818"/>
    <w:multiLevelType w:val="hybridMultilevel"/>
    <w:tmpl w:val="B914D1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BA84DD5"/>
    <w:multiLevelType w:val="hybridMultilevel"/>
    <w:tmpl w:val="3D94C73A"/>
    <w:lvl w:ilvl="0" w:tplc="58A04420">
      <w:start w:val="1"/>
      <w:numFmt w:val="decimal"/>
      <w:lvlText w:val="(%1)"/>
      <w:lvlJc w:val="left"/>
      <w:pPr>
        <w:ind w:left="360" w:hanging="360"/>
      </w:pPr>
      <w:rPr>
        <w:rFonts w:hint="default"/>
      </w:rPr>
    </w:lvl>
    <w:lvl w:ilvl="1" w:tplc="0414000F">
      <w:start w:val="1"/>
      <w:numFmt w:val="decimal"/>
      <w:lvlText w:val="%2."/>
      <w:lvlJc w:val="left"/>
      <w:pPr>
        <w:ind w:left="1080" w:hanging="360"/>
      </w:pPr>
    </w:lvl>
    <w:lvl w:ilvl="2" w:tplc="04140017">
      <w:start w:val="1"/>
      <w:numFmt w:val="lowerLetter"/>
      <w:lvlText w:val="%3)"/>
      <w:lvlJc w:val="lef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6C6113BE"/>
    <w:multiLevelType w:val="hybridMultilevel"/>
    <w:tmpl w:val="3FBC9396"/>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15:restartNumberingAfterBreak="0">
    <w:nsid w:val="70AF3DA4"/>
    <w:multiLevelType w:val="hybridMultilevel"/>
    <w:tmpl w:val="FCA62C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0CE4EAB"/>
    <w:multiLevelType w:val="hybridMultilevel"/>
    <w:tmpl w:val="C5782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4BF1288"/>
    <w:multiLevelType w:val="hybridMultilevel"/>
    <w:tmpl w:val="F398B4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ABA179A"/>
    <w:multiLevelType w:val="hybridMultilevel"/>
    <w:tmpl w:val="33128750"/>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C71554B"/>
    <w:multiLevelType w:val="hybridMultilevel"/>
    <w:tmpl w:val="D45C58E6"/>
    <w:lvl w:ilvl="0" w:tplc="13CCE890">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3" w15:restartNumberingAfterBreak="0">
    <w:nsid w:val="7D660441"/>
    <w:multiLevelType w:val="hybridMultilevel"/>
    <w:tmpl w:val="DE5280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1"/>
  </w:num>
  <w:num w:numId="4">
    <w:abstractNumId w:val="15"/>
  </w:num>
  <w:num w:numId="5">
    <w:abstractNumId w:val="12"/>
  </w:num>
  <w:num w:numId="6">
    <w:abstractNumId w:val="6"/>
  </w:num>
  <w:num w:numId="7">
    <w:abstractNumId w:val="43"/>
  </w:num>
  <w:num w:numId="8">
    <w:abstractNumId w:val="14"/>
  </w:num>
  <w:num w:numId="9">
    <w:abstractNumId w:val="35"/>
  </w:num>
  <w:num w:numId="10">
    <w:abstractNumId w:val="18"/>
  </w:num>
  <w:num w:numId="11">
    <w:abstractNumId w:val="32"/>
  </w:num>
  <w:num w:numId="12">
    <w:abstractNumId w:val="39"/>
  </w:num>
  <w:num w:numId="13">
    <w:abstractNumId w:val="0"/>
  </w:num>
  <w:num w:numId="14">
    <w:abstractNumId w:val="33"/>
  </w:num>
  <w:num w:numId="15">
    <w:abstractNumId w:val="24"/>
  </w:num>
  <w:num w:numId="16">
    <w:abstractNumId w:val="2"/>
  </w:num>
  <w:num w:numId="17">
    <w:abstractNumId w:val="38"/>
  </w:num>
  <w:num w:numId="18">
    <w:abstractNumId w:val="21"/>
  </w:num>
  <w:num w:numId="19">
    <w:abstractNumId w:val="40"/>
  </w:num>
  <w:num w:numId="20">
    <w:abstractNumId w:val="4"/>
  </w:num>
  <w:num w:numId="21">
    <w:abstractNumId w:val="34"/>
  </w:num>
  <w:num w:numId="22">
    <w:abstractNumId w:val="8"/>
  </w:num>
  <w:num w:numId="23">
    <w:abstractNumId w:val="17"/>
  </w:num>
  <w:num w:numId="24">
    <w:abstractNumId w:val="27"/>
  </w:num>
  <w:num w:numId="25">
    <w:abstractNumId w:val="30"/>
  </w:num>
  <w:num w:numId="26">
    <w:abstractNumId w:val="28"/>
  </w:num>
  <w:num w:numId="27">
    <w:abstractNumId w:val="11"/>
  </w:num>
  <w:num w:numId="28">
    <w:abstractNumId w:val="36"/>
  </w:num>
  <w:num w:numId="29">
    <w:abstractNumId w:val="10"/>
  </w:num>
  <w:num w:numId="30">
    <w:abstractNumId w:val="25"/>
  </w:num>
  <w:num w:numId="31">
    <w:abstractNumId w:val="42"/>
  </w:num>
  <w:num w:numId="32">
    <w:abstractNumId w:val="20"/>
  </w:num>
  <w:num w:numId="33">
    <w:abstractNumId w:val="16"/>
  </w:num>
  <w:num w:numId="34">
    <w:abstractNumId w:val="41"/>
  </w:num>
  <w:num w:numId="35">
    <w:abstractNumId w:val="13"/>
  </w:num>
  <w:num w:numId="36">
    <w:abstractNumId w:val="26"/>
  </w:num>
  <w:num w:numId="37">
    <w:abstractNumId w:val="7"/>
  </w:num>
  <w:num w:numId="38">
    <w:abstractNumId w:val="22"/>
  </w:num>
  <w:num w:numId="39">
    <w:abstractNumId w:val="5"/>
  </w:num>
  <w:num w:numId="40">
    <w:abstractNumId w:val="37"/>
  </w:num>
  <w:num w:numId="41">
    <w:abstractNumId w:val="9"/>
  </w:num>
  <w:num w:numId="42">
    <w:abstractNumId w:val="1"/>
  </w:num>
  <w:num w:numId="43">
    <w:abstractNumId w:val="29"/>
  </w:num>
  <w:num w:numId="44">
    <w:abstractNumId w:val="3"/>
  </w:num>
  <w:num w:numId="45">
    <w:abstractNumId w:val="1"/>
  </w:num>
  <w:num w:numId="46">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s-AR" w:vendorID="64" w:dllVersion="0" w:nlCheck="1" w:checkStyle="0"/>
  <w:activeWritingStyle w:appName="MSWord" w:lang="es-A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b-NO" w:vendorID="64" w:dllVersion="4096" w:nlCheck="1" w:checkStyle="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2022CDD-A31E-4B06-9A84-DF8301A87696}"/>
    <w:docVar w:name="dgnword-eventsink" w:val="230831632"/>
  </w:docVars>
  <w:rsids>
    <w:rsidRoot w:val="00D21D44"/>
    <w:rsid w:val="00000407"/>
    <w:rsid w:val="000013F0"/>
    <w:rsid w:val="00001A74"/>
    <w:rsid w:val="00003997"/>
    <w:rsid w:val="0000440A"/>
    <w:rsid w:val="0000560B"/>
    <w:rsid w:val="00007681"/>
    <w:rsid w:val="000078EB"/>
    <w:rsid w:val="00011341"/>
    <w:rsid w:val="00015AD8"/>
    <w:rsid w:val="0002001C"/>
    <w:rsid w:val="000206E8"/>
    <w:rsid w:val="00022081"/>
    <w:rsid w:val="00023F7E"/>
    <w:rsid w:val="00026321"/>
    <w:rsid w:val="0003028F"/>
    <w:rsid w:val="00031C91"/>
    <w:rsid w:val="00031DF2"/>
    <w:rsid w:val="00035480"/>
    <w:rsid w:val="00040545"/>
    <w:rsid w:val="000455DF"/>
    <w:rsid w:val="00045F34"/>
    <w:rsid w:val="00046341"/>
    <w:rsid w:val="000525FF"/>
    <w:rsid w:val="00052868"/>
    <w:rsid w:val="0005368D"/>
    <w:rsid w:val="0005513F"/>
    <w:rsid w:val="000644F8"/>
    <w:rsid w:val="000700B6"/>
    <w:rsid w:val="000700CA"/>
    <w:rsid w:val="00071B91"/>
    <w:rsid w:val="000759FF"/>
    <w:rsid w:val="0008082D"/>
    <w:rsid w:val="00080F55"/>
    <w:rsid w:val="000845B1"/>
    <w:rsid w:val="00085B8C"/>
    <w:rsid w:val="00087184"/>
    <w:rsid w:val="00092BEA"/>
    <w:rsid w:val="00093F34"/>
    <w:rsid w:val="0009694A"/>
    <w:rsid w:val="00096AD9"/>
    <w:rsid w:val="000A182E"/>
    <w:rsid w:val="000A5699"/>
    <w:rsid w:val="000A6222"/>
    <w:rsid w:val="000A6A4A"/>
    <w:rsid w:val="000B1061"/>
    <w:rsid w:val="000B50C8"/>
    <w:rsid w:val="000B724F"/>
    <w:rsid w:val="000C1A03"/>
    <w:rsid w:val="000C2D24"/>
    <w:rsid w:val="000C3034"/>
    <w:rsid w:val="000C4169"/>
    <w:rsid w:val="000C7208"/>
    <w:rsid w:val="000D2377"/>
    <w:rsid w:val="000D358C"/>
    <w:rsid w:val="000D4BB6"/>
    <w:rsid w:val="000D563A"/>
    <w:rsid w:val="000D56F1"/>
    <w:rsid w:val="000D5B8C"/>
    <w:rsid w:val="000E00BB"/>
    <w:rsid w:val="000E3D35"/>
    <w:rsid w:val="000E43D1"/>
    <w:rsid w:val="000E4B5B"/>
    <w:rsid w:val="000E4B91"/>
    <w:rsid w:val="000E523B"/>
    <w:rsid w:val="000E54AD"/>
    <w:rsid w:val="000E5EF9"/>
    <w:rsid w:val="000E7899"/>
    <w:rsid w:val="000F179A"/>
    <w:rsid w:val="000F1A5F"/>
    <w:rsid w:val="000F2D82"/>
    <w:rsid w:val="000F3C90"/>
    <w:rsid w:val="000F47B6"/>
    <w:rsid w:val="000F5C55"/>
    <w:rsid w:val="000F6E51"/>
    <w:rsid w:val="00101ECF"/>
    <w:rsid w:val="00102B4D"/>
    <w:rsid w:val="00102FE9"/>
    <w:rsid w:val="00107A54"/>
    <w:rsid w:val="0011038B"/>
    <w:rsid w:val="00111913"/>
    <w:rsid w:val="00113B5F"/>
    <w:rsid w:val="0011550E"/>
    <w:rsid w:val="00117A98"/>
    <w:rsid w:val="00122314"/>
    <w:rsid w:val="00124388"/>
    <w:rsid w:val="0012549D"/>
    <w:rsid w:val="00125F3E"/>
    <w:rsid w:val="00131D00"/>
    <w:rsid w:val="0013470C"/>
    <w:rsid w:val="00135F03"/>
    <w:rsid w:val="001374AC"/>
    <w:rsid w:val="0014102B"/>
    <w:rsid w:val="00144981"/>
    <w:rsid w:val="00144BF6"/>
    <w:rsid w:val="00146130"/>
    <w:rsid w:val="00153A4D"/>
    <w:rsid w:val="001549E1"/>
    <w:rsid w:val="00156C7D"/>
    <w:rsid w:val="00161263"/>
    <w:rsid w:val="00161312"/>
    <w:rsid w:val="001619A7"/>
    <w:rsid w:val="00162206"/>
    <w:rsid w:val="001649D4"/>
    <w:rsid w:val="00165AED"/>
    <w:rsid w:val="00170C2A"/>
    <w:rsid w:val="00171DA7"/>
    <w:rsid w:val="001729DA"/>
    <w:rsid w:val="001741C7"/>
    <w:rsid w:val="001743FD"/>
    <w:rsid w:val="00175993"/>
    <w:rsid w:val="00177C36"/>
    <w:rsid w:val="001854EE"/>
    <w:rsid w:val="00185FD9"/>
    <w:rsid w:val="001960AE"/>
    <w:rsid w:val="00196E28"/>
    <w:rsid w:val="001A1981"/>
    <w:rsid w:val="001B00A8"/>
    <w:rsid w:val="001B2BA9"/>
    <w:rsid w:val="001C1F9F"/>
    <w:rsid w:val="001C3951"/>
    <w:rsid w:val="001C4D7D"/>
    <w:rsid w:val="001C75FD"/>
    <w:rsid w:val="001D2E51"/>
    <w:rsid w:val="001D7A1D"/>
    <w:rsid w:val="001F2E53"/>
    <w:rsid w:val="001F4F92"/>
    <w:rsid w:val="001F55A5"/>
    <w:rsid w:val="00202A93"/>
    <w:rsid w:val="002030C6"/>
    <w:rsid w:val="00205CA1"/>
    <w:rsid w:val="00214AE8"/>
    <w:rsid w:val="00217EC2"/>
    <w:rsid w:val="002221D5"/>
    <w:rsid w:val="0022366E"/>
    <w:rsid w:val="00225A1C"/>
    <w:rsid w:val="00225BED"/>
    <w:rsid w:val="00227F59"/>
    <w:rsid w:val="00231C0E"/>
    <w:rsid w:val="0023530C"/>
    <w:rsid w:val="00236A74"/>
    <w:rsid w:val="0024058E"/>
    <w:rsid w:val="00243915"/>
    <w:rsid w:val="00247AFC"/>
    <w:rsid w:val="00247C86"/>
    <w:rsid w:val="0025070B"/>
    <w:rsid w:val="00250739"/>
    <w:rsid w:val="00252B79"/>
    <w:rsid w:val="00253C1D"/>
    <w:rsid w:val="00254328"/>
    <w:rsid w:val="00254D2D"/>
    <w:rsid w:val="0025723E"/>
    <w:rsid w:val="00261BA2"/>
    <w:rsid w:val="0026235E"/>
    <w:rsid w:val="0026329C"/>
    <w:rsid w:val="00271C2C"/>
    <w:rsid w:val="002736A5"/>
    <w:rsid w:val="00273E7A"/>
    <w:rsid w:val="00274EA1"/>
    <w:rsid w:val="00277EAD"/>
    <w:rsid w:val="00280F6D"/>
    <w:rsid w:val="00280F7C"/>
    <w:rsid w:val="002818D9"/>
    <w:rsid w:val="0028487A"/>
    <w:rsid w:val="002850D7"/>
    <w:rsid w:val="00290AD0"/>
    <w:rsid w:val="00290F81"/>
    <w:rsid w:val="00291C7E"/>
    <w:rsid w:val="00292E34"/>
    <w:rsid w:val="00294D89"/>
    <w:rsid w:val="00295FD6"/>
    <w:rsid w:val="002976BB"/>
    <w:rsid w:val="002A0228"/>
    <w:rsid w:val="002A4EAA"/>
    <w:rsid w:val="002A5C9E"/>
    <w:rsid w:val="002A6E66"/>
    <w:rsid w:val="002B06FC"/>
    <w:rsid w:val="002B0AB5"/>
    <w:rsid w:val="002B1707"/>
    <w:rsid w:val="002B2FDA"/>
    <w:rsid w:val="002B3947"/>
    <w:rsid w:val="002B456E"/>
    <w:rsid w:val="002B5CA7"/>
    <w:rsid w:val="002B6259"/>
    <w:rsid w:val="002B7E41"/>
    <w:rsid w:val="002C3FEA"/>
    <w:rsid w:val="002C4E9E"/>
    <w:rsid w:val="002C67A3"/>
    <w:rsid w:val="002C6FB7"/>
    <w:rsid w:val="002D6D66"/>
    <w:rsid w:val="002E1A31"/>
    <w:rsid w:val="002E2F38"/>
    <w:rsid w:val="002E344A"/>
    <w:rsid w:val="002E4D83"/>
    <w:rsid w:val="002E6B5C"/>
    <w:rsid w:val="002F5C57"/>
    <w:rsid w:val="0030056E"/>
    <w:rsid w:val="00310A10"/>
    <w:rsid w:val="00310E09"/>
    <w:rsid w:val="00314485"/>
    <w:rsid w:val="003144EE"/>
    <w:rsid w:val="003155DD"/>
    <w:rsid w:val="0031782B"/>
    <w:rsid w:val="003201EB"/>
    <w:rsid w:val="00321F1A"/>
    <w:rsid w:val="0032391E"/>
    <w:rsid w:val="00323DC1"/>
    <w:rsid w:val="00333063"/>
    <w:rsid w:val="003357C3"/>
    <w:rsid w:val="00336B9B"/>
    <w:rsid w:val="003437AB"/>
    <w:rsid w:val="003439C2"/>
    <w:rsid w:val="00344538"/>
    <w:rsid w:val="003454C3"/>
    <w:rsid w:val="003502C0"/>
    <w:rsid w:val="00350EE3"/>
    <w:rsid w:val="00351C54"/>
    <w:rsid w:val="00353833"/>
    <w:rsid w:val="003546CB"/>
    <w:rsid w:val="00355749"/>
    <w:rsid w:val="0035594F"/>
    <w:rsid w:val="00360144"/>
    <w:rsid w:val="003604F8"/>
    <w:rsid w:val="00365F29"/>
    <w:rsid w:val="00367222"/>
    <w:rsid w:val="003720B3"/>
    <w:rsid w:val="0037309D"/>
    <w:rsid w:val="003747A8"/>
    <w:rsid w:val="003755E5"/>
    <w:rsid w:val="00376D58"/>
    <w:rsid w:val="003774FC"/>
    <w:rsid w:val="003827D8"/>
    <w:rsid w:val="00382DBC"/>
    <w:rsid w:val="00383CC0"/>
    <w:rsid w:val="00385512"/>
    <w:rsid w:val="00385DBA"/>
    <w:rsid w:val="00385FEA"/>
    <w:rsid w:val="00386F66"/>
    <w:rsid w:val="00390193"/>
    <w:rsid w:val="00391251"/>
    <w:rsid w:val="003913E7"/>
    <w:rsid w:val="00395A50"/>
    <w:rsid w:val="00395EB1"/>
    <w:rsid w:val="0039794D"/>
    <w:rsid w:val="003A252B"/>
    <w:rsid w:val="003A2DCA"/>
    <w:rsid w:val="003A3B72"/>
    <w:rsid w:val="003A6F3E"/>
    <w:rsid w:val="003A739F"/>
    <w:rsid w:val="003B28BB"/>
    <w:rsid w:val="003B2C23"/>
    <w:rsid w:val="003B57F9"/>
    <w:rsid w:val="003C093F"/>
    <w:rsid w:val="003C0F4A"/>
    <w:rsid w:val="003C16D2"/>
    <w:rsid w:val="003C401C"/>
    <w:rsid w:val="003C4188"/>
    <w:rsid w:val="003C4271"/>
    <w:rsid w:val="003C7F5C"/>
    <w:rsid w:val="003D0B46"/>
    <w:rsid w:val="003D0D68"/>
    <w:rsid w:val="003D4AC8"/>
    <w:rsid w:val="003D6B06"/>
    <w:rsid w:val="003E1438"/>
    <w:rsid w:val="003E4496"/>
    <w:rsid w:val="003E45FB"/>
    <w:rsid w:val="003E4DFD"/>
    <w:rsid w:val="003E4EC4"/>
    <w:rsid w:val="003F0EFC"/>
    <w:rsid w:val="003F1707"/>
    <w:rsid w:val="003F3291"/>
    <w:rsid w:val="003F32F0"/>
    <w:rsid w:val="003F4120"/>
    <w:rsid w:val="003F4D1D"/>
    <w:rsid w:val="003F5918"/>
    <w:rsid w:val="004006EC"/>
    <w:rsid w:val="0040207A"/>
    <w:rsid w:val="00406278"/>
    <w:rsid w:val="0040728C"/>
    <w:rsid w:val="00407528"/>
    <w:rsid w:val="00407F44"/>
    <w:rsid w:val="004102F9"/>
    <w:rsid w:val="00411748"/>
    <w:rsid w:val="00412B4E"/>
    <w:rsid w:val="004138DB"/>
    <w:rsid w:val="004153A9"/>
    <w:rsid w:val="004158BA"/>
    <w:rsid w:val="00417463"/>
    <w:rsid w:val="004210E9"/>
    <w:rsid w:val="00421605"/>
    <w:rsid w:val="00421805"/>
    <w:rsid w:val="00421DAF"/>
    <w:rsid w:val="0042214B"/>
    <w:rsid w:val="004238DA"/>
    <w:rsid w:val="00424A9B"/>
    <w:rsid w:val="00427B79"/>
    <w:rsid w:val="004310AB"/>
    <w:rsid w:val="00433328"/>
    <w:rsid w:val="004350E1"/>
    <w:rsid w:val="0043610B"/>
    <w:rsid w:val="00440858"/>
    <w:rsid w:val="00440C64"/>
    <w:rsid w:val="0044314C"/>
    <w:rsid w:val="0044328D"/>
    <w:rsid w:val="0044356B"/>
    <w:rsid w:val="00445357"/>
    <w:rsid w:val="0045146D"/>
    <w:rsid w:val="004519AE"/>
    <w:rsid w:val="00455504"/>
    <w:rsid w:val="00455A60"/>
    <w:rsid w:val="00463FCE"/>
    <w:rsid w:val="004702B7"/>
    <w:rsid w:val="0047146D"/>
    <w:rsid w:val="0047406B"/>
    <w:rsid w:val="00474C03"/>
    <w:rsid w:val="00477B5C"/>
    <w:rsid w:val="00487D53"/>
    <w:rsid w:val="00490B78"/>
    <w:rsid w:val="0049321B"/>
    <w:rsid w:val="0049489B"/>
    <w:rsid w:val="00494C12"/>
    <w:rsid w:val="00495E48"/>
    <w:rsid w:val="004A43C5"/>
    <w:rsid w:val="004A4E73"/>
    <w:rsid w:val="004A5110"/>
    <w:rsid w:val="004A527C"/>
    <w:rsid w:val="004B098F"/>
    <w:rsid w:val="004B2EA4"/>
    <w:rsid w:val="004B4C42"/>
    <w:rsid w:val="004B6629"/>
    <w:rsid w:val="004C1606"/>
    <w:rsid w:val="004C288B"/>
    <w:rsid w:val="004C348F"/>
    <w:rsid w:val="004C55B3"/>
    <w:rsid w:val="004C6A01"/>
    <w:rsid w:val="004C7DD3"/>
    <w:rsid w:val="004D27C5"/>
    <w:rsid w:val="004D3666"/>
    <w:rsid w:val="004D4A7D"/>
    <w:rsid w:val="004D68F5"/>
    <w:rsid w:val="004E0FA0"/>
    <w:rsid w:val="004E1837"/>
    <w:rsid w:val="004E1FE0"/>
    <w:rsid w:val="004E2FE4"/>
    <w:rsid w:val="004E34D6"/>
    <w:rsid w:val="004E6234"/>
    <w:rsid w:val="004E64E4"/>
    <w:rsid w:val="004E6D93"/>
    <w:rsid w:val="004F0087"/>
    <w:rsid w:val="004F260F"/>
    <w:rsid w:val="004F2998"/>
    <w:rsid w:val="004F41A4"/>
    <w:rsid w:val="004F4423"/>
    <w:rsid w:val="00501657"/>
    <w:rsid w:val="0050293B"/>
    <w:rsid w:val="00510365"/>
    <w:rsid w:val="00511356"/>
    <w:rsid w:val="00513612"/>
    <w:rsid w:val="00515E59"/>
    <w:rsid w:val="00516501"/>
    <w:rsid w:val="00520A17"/>
    <w:rsid w:val="00521E1D"/>
    <w:rsid w:val="0052201E"/>
    <w:rsid w:val="0052238A"/>
    <w:rsid w:val="00522F3C"/>
    <w:rsid w:val="0052344D"/>
    <w:rsid w:val="0053112F"/>
    <w:rsid w:val="00531CB1"/>
    <w:rsid w:val="0053285E"/>
    <w:rsid w:val="00532DB8"/>
    <w:rsid w:val="0053504A"/>
    <w:rsid w:val="00535D01"/>
    <w:rsid w:val="00536A03"/>
    <w:rsid w:val="005376DC"/>
    <w:rsid w:val="00540E29"/>
    <w:rsid w:val="00542C33"/>
    <w:rsid w:val="005430B7"/>
    <w:rsid w:val="005442D0"/>
    <w:rsid w:val="00547499"/>
    <w:rsid w:val="0055084A"/>
    <w:rsid w:val="00550889"/>
    <w:rsid w:val="00555385"/>
    <w:rsid w:val="005575C3"/>
    <w:rsid w:val="00560364"/>
    <w:rsid w:val="00563B78"/>
    <w:rsid w:val="00566334"/>
    <w:rsid w:val="0057082B"/>
    <w:rsid w:val="00573B09"/>
    <w:rsid w:val="00574031"/>
    <w:rsid w:val="00575DC4"/>
    <w:rsid w:val="00577F0D"/>
    <w:rsid w:val="00580AB7"/>
    <w:rsid w:val="005843AA"/>
    <w:rsid w:val="0058766F"/>
    <w:rsid w:val="0058774C"/>
    <w:rsid w:val="00594539"/>
    <w:rsid w:val="00595A1D"/>
    <w:rsid w:val="005A0819"/>
    <w:rsid w:val="005A5BC7"/>
    <w:rsid w:val="005A6DB0"/>
    <w:rsid w:val="005A78B2"/>
    <w:rsid w:val="005A7FDE"/>
    <w:rsid w:val="005B0662"/>
    <w:rsid w:val="005B0896"/>
    <w:rsid w:val="005B1326"/>
    <w:rsid w:val="005B1C7B"/>
    <w:rsid w:val="005B3691"/>
    <w:rsid w:val="005B71C2"/>
    <w:rsid w:val="005B728D"/>
    <w:rsid w:val="005C06E3"/>
    <w:rsid w:val="005C5FA7"/>
    <w:rsid w:val="005C65EA"/>
    <w:rsid w:val="005D0C44"/>
    <w:rsid w:val="005D31F8"/>
    <w:rsid w:val="005D3834"/>
    <w:rsid w:val="005D43B3"/>
    <w:rsid w:val="005D5BE3"/>
    <w:rsid w:val="005D6038"/>
    <w:rsid w:val="005D73B5"/>
    <w:rsid w:val="005E1324"/>
    <w:rsid w:val="005E1C02"/>
    <w:rsid w:val="005E2419"/>
    <w:rsid w:val="005E3758"/>
    <w:rsid w:val="005E5911"/>
    <w:rsid w:val="005E5FAB"/>
    <w:rsid w:val="005E78A4"/>
    <w:rsid w:val="005E7DF9"/>
    <w:rsid w:val="005F19CF"/>
    <w:rsid w:val="005F43BE"/>
    <w:rsid w:val="005F4565"/>
    <w:rsid w:val="005F5643"/>
    <w:rsid w:val="005F702B"/>
    <w:rsid w:val="00601536"/>
    <w:rsid w:val="00604DA0"/>
    <w:rsid w:val="00610576"/>
    <w:rsid w:val="00611A3D"/>
    <w:rsid w:val="00613CDC"/>
    <w:rsid w:val="006159B3"/>
    <w:rsid w:val="00615C39"/>
    <w:rsid w:val="00621D5C"/>
    <w:rsid w:val="00624779"/>
    <w:rsid w:val="00626BC4"/>
    <w:rsid w:val="00627273"/>
    <w:rsid w:val="00627DD7"/>
    <w:rsid w:val="00635C53"/>
    <w:rsid w:val="006427BE"/>
    <w:rsid w:val="00642C58"/>
    <w:rsid w:val="00643FA3"/>
    <w:rsid w:val="00646832"/>
    <w:rsid w:val="0065242C"/>
    <w:rsid w:val="00652C5C"/>
    <w:rsid w:val="00654908"/>
    <w:rsid w:val="00654C36"/>
    <w:rsid w:val="0065761B"/>
    <w:rsid w:val="00661B54"/>
    <w:rsid w:val="006636AB"/>
    <w:rsid w:val="00664829"/>
    <w:rsid w:val="00664DDF"/>
    <w:rsid w:val="006661CD"/>
    <w:rsid w:val="0066650A"/>
    <w:rsid w:val="00670C75"/>
    <w:rsid w:val="00671BD8"/>
    <w:rsid w:val="00671EBF"/>
    <w:rsid w:val="006745A3"/>
    <w:rsid w:val="00674D30"/>
    <w:rsid w:val="00677B76"/>
    <w:rsid w:val="00680346"/>
    <w:rsid w:val="006816EA"/>
    <w:rsid w:val="006861EB"/>
    <w:rsid w:val="00690BB7"/>
    <w:rsid w:val="00691DA2"/>
    <w:rsid w:val="00692063"/>
    <w:rsid w:val="00695627"/>
    <w:rsid w:val="00696C7B"/>
    <w:rsid w:val="00697BF5"/>
    <w:rsid w:val="006A4A32"/>
    <w:rsid w:val="006A5014"/>
    <w:rsid w:val="006A7338"/>
    <w:rsid w:val="006B065E"/>
    <w:rsid w:val="006B1DEF"/>
    <w:rsid w:val="006B2D01"/>
    <w:rsid w:val="006B2F17"/>
    <w:rsid w:val="006B6095"/>
    <w:rsid w:val="006B6CBE"/>
    <w:rsid w:val="006C0805"/>
    <w:rsid w:val="006C5FAB"/>
    <w:rsid w:val="006D2E0D"/>
    <w:rsid w:val="006D32CE"/>
    <w:rsid w:val="006E0CB4"/>
    <w:rsid w:val="006E2C1E"/>
    <w:rsid w:val="006E3F2B"/>
    <w:rsid w:val="006E491C"/>
    <w:rsid w:val="006F0F31"/>
    <w:rsid w:val="006F1229"/>
    <w:rsid w:val="006F1920"/>
    <w:rsid w:val="006F1B8D"/>
    <w:rsid w:val="006F282E"/>
    <w:rsid w:val="006F3464"/>
    <w:rsid w:val="006F37FB"/>
    <w:rsid w:val="006F7B61"/>
    <w:rsid w:val="007004B9"/>
    <w:rsid w:val="00700BC3"/>
    <w:rsid w:val="00702532"/>
    <w:rsid w:val="00703A04"/>
    <w:rsid w:val="00706E66"/>
    <w:rsid w:val="007103EC"/>
    <w:rsid w:val="00710B63"/>
    <w:rsid w:val="00714A75"/>
    <w:rsid w:val="00720DFA"/>
    <w:rsid w:val="0072187E"/>
    <w:rsid w:val="00723D62"/>
    <w:rsid w:val="00724474"/>
    <w:rsid w:val="00725B9A"/>
    <w:rsid w:val="00725FD5"/>
    <w:rsid w:val="0072688D"/>
    <w:rsid w:val="00727092"/>
    <w:rsid w:val="00727407"/>
    <w:rsid w:val="00732728"/>
    <w:rsid w:val="007340E1"/>
    <w:rsid w:val="007352A7"/>
    <w:rsid w:val="007356E3"/>
    <w:rsid w:val="00736661"/>
    <w:rsid w:val="00737473"/>
    <w:rsid w:val="0074223A"/>
    <w:rsid w:val="00743109"/>
    <w:rsid w:val="00743846"/>
    <w:rsid w:val="00744253"/>
    <w:rsid w:val="007471EC"/>
    <w:rsid w:val="007529CD"/>
    <w:rsid w:val="007559F3"/>
    <w:rsid w:val="00755F5D"/>
    <w:rsid w:val="00757044"/>
    <w:rsid w:val="00757C5A"/>
    <w:rsid w:val="007608EF"/>
    <w:rsid w:val="00761E1B"/>
    <w:rsid w:val="00762E35"/>
    <w:rsid w:val="00764F98"/>
    <w:rsid w:val="007651AB"/>
    <w:rsid w:val="00770594"/>
    <w:rsid w:val="007712FE"/>
    <w:rsid w:val="00771D69"/>
    <w:rsid w:val="00771DCC"/>
    <w:rsid w:val="0077542F"/>
    <w:rsid w:val="00775B70"/>
    <w:rsid w:val="00775FE4"/>
    <w:rsid w:val="00780EEE"/>
    <w:rsid w:val="00781B13"/>
    <w:rsid w:val="0078224C"/>
    <w:rsid w:val="0079035F"/>
    <w:rsid w:val="00790DA6"/>
    <w:rsid w:val="00792419"/>
    <w:rsid w:val="00794DE2"/>
    <w:rsid w:val="00795E3E"/>
    <w:rsid w:val="007A009F"/>
    <w:rsid w:val="007A039E"/>
    <w:rsid w:val="007A1642"/>
    <w:rsid w:val="007A2278"/>
    <w:rsid w:val="007A3DD9"/>
    <w:rsid w:val="007A4366"/>
    <w:rsid w:val="007A5799"/>
    <w:rsid w:val="007B02C1"/>
    <w:rsid w:val="007B0BEF"/>
    <w:rsid w:val="007B2E5A"/>
    <w:rsid w:val="007B32AC"/>
    <w:rsid w:val="007B3F0F"/>
    <w:rsid w:val="007B4E97"/>
    <w:rsid w:val="007B515F"/>
    <w:rsid w:val="007C0399"/>
    <w:rsid w:val="007C0CB8"/>
    <w:rsid w:val="007C1376"/>
    <w:rsid w:val="007C43E1"/>
    <w:rsid w:val="007C61C8"/>
    <w:rsid w:val="007D11B6"/>
    <w:rsid w:val="007D1369"/>
    <w:rsid w:val="007D2871"/>
    <w:rsid w:val="007D51ED"/>
    <w:rsid w:val="007D6E9D"/>
    <w:rsid w:val="007E0A01"/>
    <w:rsid w:val="007E30E6"/>
    <w:rsid w:val="007E312C"/>
    <w:rsid w:val="007E3E66"/>
    <w:rsid w:val="007E51BF"/>
    <w:rsid w:val="007E71BF"/>
    <w:rsid w:val="007F17AF"/>
    <w:rsid w:val="007F2020"/>
    <w:rsid w:val="007F3D6A"/>
    <w:rsid w:val="007F5E63"/>
    <w:rsid w:val="007F6778"/>
    <w:rsid w:val="00800AF1"/>
    <w:rsid w:val="008019E1"/>
    <w:rsid w:val="00803CCD"/>
    <w:rsid w:val="0080458F"/>
    <w:rsid w:val="00804955"/>
    <w:rsid w:val="00806E1B"/>
    <w:rsid w:val="00807D62"/>
    <w:rsid w:val="00811514"/>
    <w:rsid w:val="008137B4"/>
    <w:rsid w:val="0081615E"/>
    <w:rsid w:val="00816730"/>
    <w:rsid w:val="00817B80"/>
    <w:rsid w:val="0082074C"/>
    <w:rsid w:val="00821956"/>
    <w:rsid w:val="00822A93"/>
    <w:rsid w:val="0082395C"/>
    <w:rsid w:val="00830FA3"/>
    <w:rsid w:val="00833A63"/>
    <w:rsid w:val="008345A1"/>
    <w:rsid w:val="00835E0E"/>
    <w:rsid w:val="00837B71"/>
    <w:rsid w:val="00842645"/>
    <w:rsid w:val="00842F94"/>
    <w:rsid w:val="00843D55"/>
    <w:rsid w:val="00843F38"/>
    <w:rsid w:val="00846C5C"/>
    <w:rsid w:val="00850D86"/>
    <w:rsid w:val="00853479"/>
    <w:rsid w:val="0085599B"/>
    <w:rsid w:val="0085612A"/>
    <w:rsid w:val="00860130"/>
    <w:rsid w:val="008622AA"/>
    <w:rsid w:val="00862DAD"/>
    <w:rsid w:val="008640CC"/>
    <w:rsid w:val="008647C7"/>
    <w:rsid w:val="008668AF"/>
    <w:rsid w:val="00870CC9"/>
    <w:rsid w:val="00873243"/>
    <w:rsid w:val="008751ED"/>
    <w:rsid w:val="00875F5E"/>
    <w:rsid w:val="00876273"/>
    <w:rsid w:val="008871AE"/>
    <w:rsid w:val="00890D50"/>
    <w:rsid w:val="0089155C"/>
    <w:rsid w:val="00891BF8"/>
    <w:rsid w:val="00892F15"/>
    <w:rsid w:val="0089613B"/>
    <w:rsid w:val="008A1581"/>
    <w:rsid w:val="008A1971"/>
    <w:rsid w:val="008A2516"/>
    <w:rsid w:val="008A2E80"/>
    <w:rsid w:val="008A3AAB"/>
    <w:rsid w:val="008A5DD8"/>
    <w:rsid w:val="008A7C22"/>
    <w:rsid w:val="008B44FC"/>
    <w:rsid w:val="008B5848"/>
    <w:rsid w:val="008B6C79"/>
    <w:rsid w:val="008B7430"/>
    <w:rsid w:val="008C0524"/>
    <w:rsid w:val="008C2894"/>
    <w:rsid w:val="008C4ECD"/>
    <w:rsid w:val="008C6F59"/>
    <w:rsid w:val="008D2C74"/>
    <w:rsid w:val="008D3803"/>
    <w:rsid w:val="008E206A"/>
    <w:rsid w:val="008E2D6D"/>
    <w:rsid w:val="008E2D93"/>
    <w:rsid w:val="008E35F3"/>
    <w:rsid w:val="008E5C1D"/>
    <w:rsid w:val="008F1390"/>
    <w:rsid w:val="008F164F"/>
    <w:rsid w:val="008F281F"/>
    <w:rsid w:val="008F58B9"/>
    <w:rsid w:val="0090231C"/>
    <w:rsid w:val="00902CEF"/>
    <w:rsid w:val="0090454F"/>
    <w:rsid w:val="00904976"/>
    <w:rsid w:val="00904D96"/>
    <w:rsid w:val="0090566A"/>
    <w:rsid w:val="0090666A"/>
    <w:rsid w:val="00910A50"/>
    <w:rsid w:val="009125DE"/>
    <w:rsid w:val="00916536"/>
    <w:rsid w:val="00917E02"/>
    <w:rsid w:val="00922AD9"/>
    <w:rsid w:val="00922DE9"/>
    <w:rsid w:val="00926A01"/>
    <w:rsid w:val="009274C8"/>
    <w:rsid w:val="00927E12"/>
    <w:rsid w:val="00930B57"/>
    <w:rsid w:val="0093379C"/>
    <w:rsid w:val="00933E19"/>
    <w:rsid w:val="009345D1"/>
    <w:rsid w:val="0093562E"/>
    <w:rsid w:val="009418CB"/>
    <w:rsid w:val="0094430B"/>
    <w:rsid w:val="00944C1F"/>
    <w:rsid w:val="00945D33"/>
    <w:rsid w:val="009568DC"/>
    <w:rsid w:val="00957769"/>
    <w:rsid w:val="0096183D"/>
    <w:rsid w:val="00961FED"/>
    <w:rsid w:val="009632DE"/>
    <w:rsid w:val="00965551"/>
    <w:rsid w:val="009668D6"/>
    <w:rsid w:val="00966E9D"/>
    <w:rsid w:val="00967391"/>
    <w:rsid w:val="00967DC2"/>
    <w:rsid w:val="009757D0"/>
    <w:rsid w:val="0097697C"/>
    <w:rsid w:val="00980198"/>
    <w:rsid w:val="00980239"/>
    <w:rsid w:val="009811B3"/>
    <w:rsid w:val="00981C44"/>
    <w:rsid w:val="00982FA9"/>
    <w:rsid w:val="00983902"/>
    <w:rsid w:val="009876B6"/>
    <w:rsid w:val="009901BA"/>
    <w:rsid w:val="00990941"/>
    <w:rsid w:val="009919C0"/>
    <w:rsid w:val="00992EFD"/>
    <w:rsid w:val="00995556"/>
    <w:rsid w:val="009972A7"/>
    <w:rsid w:val="009A0124"/>
    <w:rsid w:val="009A1594"/>
    <w:rsid w:val="009A60AC"/>
    <w:rsid w:val="009A7014"/>
    <w:rsid w:val="009B08F0"/>
    <w:rsid w:val="009B351B"/>
    <w:rsid w:val="009B3E5A"/>
    <w:rsid w:val="009B440C"/>
    <w:rsid w:val="009B4702"/>
    <w:rsid w:val="009B4854"/>
    <w:rsid w:val="009B7D10"/>
    <w:rsid w:val="009C051B"/>
    <w:rsid w:val="009C3F88"/>
    <w:rsid w:val="009C6637"/>
    <w:rsid w:val="009C7796"/>
    <w:rsid w:val="009D346A"/>
    <w:rsid w:val="009D3EF2"/>
    <w:rsid w:val="009D4790"/>
    <w:rsid w:val="009D717C"/>
    <w:rsid w:val="009E3D6C"/>
    <w:rsid w:val="009E5781"/>
    <w:rsid w:val="009E661C"/>
    <w:rsid w:val="009E6D96"/>
    <w:rsid w:val="009F10CA"/>
    <w:rsid w:val="009F1B17"/>
    <w:rsid w:val="009F1C94"/>
    <w:rsid w:val="009F3D14"/>
    <w:rsid w:val="00A00339"/>
    <w:rsid w:val="00A011CC"/>
    <w:rsid w:val="00A036A1"/>
    <w:rsid w:val="00A04F15"/>
    <w:rsid w:val="00A06CE0"/>
    <w:rsid w:val="00A070F2"/>
    <w:rsid w:val="00A11074"/>
    <w:rsid w:val="00A145BB"/>
    <w:rsid w:val="00A15099"/>
    <w:rsid w:val="00A15C88"/>
    <w:rsid w:val="00A174DC"/>
    <w:rsid w:val="00A21D76"/>
    <w:rsid w:val="00A22A7B"/>
    <w:rsid w:val="00A22C39"/>
    <w:rsid w:val="00A23036"/>
    <w:rsid w:val="00A2488B"/>
    <w:rsid w:val="00A27948"/>
    <w:rsid w:val="00A32953"/>
    <w:rsid w:val="00A337C8"/>
    <w:rsid w:val="00A337E3"/>
    <w:rsid w:val="00A339F2"/>
    <w:rsid w:val="00A432C1"/>
    <w:rsid w:val="00A45E90"/>
    <w:rsid w:val="00A465D7"/>
    <w:rsid w:val="00A50169"/>
    <w:rsid w:val="00A54AB4"/>
    <w:rsid w:val="00A563FC"/>
    <w:rsid w:val="00A56CC7"/>
    <w:rsid w:val="00A65B5B"/>
    <w:rsid w:val="00A65D66"/>
    <w:rsid w:val="00A704CA"/>
    <w:rsid w:val="00A70D3B"/>
    <w:rsid w:val="00A74512"/>
    <w:rsid w:val="00A76040"/>
    <w:rsid w:val="00A76F5C"/>
    <w:rsid w:val="00A8106A"/>
    <w:rsid w:val="00A81318"/>
    <w:rsid w:val="00A82821"/>
    <w:rsid w:val="00A873CD"/>
    <w:rsid w:val="00A87CFA"/>
    <w:rsid w:val="00A87E0D"/>
    <w:rsid w:val="00A92BBB"/>
    <w:rsid w:val="00A94761"/>
    <w:rsid w:val="00A97461"/>
    <w:rsid w:val="00AA0854"/>
    <w:rsid w:val="00AA0DC6"/>
    <w:rsid w:val="00AA1EBD"/>
    <w:rsid w:val="00AA4764"/>
    <w:rsid w:val="00AB371E"/>
    <w:rsid w:val="00AB44CA"/>
    <w:rsid w:val="00AC1329"/>
    <w:rsid w:val="00AC3E69"/>
    <w:rsid w:val="00AC422A"/>
    <w:rsid w:val="00AC4B1B"/>
    <w:rsid w:val="00AC7DCF"/>
    <w:rsid w:val="00AC7FC1"/>
    <w:rsid w:val="00AD0CB6"/>
    <w:rsid w:val="00AD113C"/>
    <w:rsid w:val="00AD2C85"/>
    <w:rsid w:val="00AD6F29"/>
    <w:rsid w:val="00AE1D1B"/>
    <w:rsid w:val="00AE4728"/>
    <w:rsid w:val="00AF4233"/>
    <w:rsid w:val="00B01492"/>
    <w:rsid w:val="00B06449"/>
    <w:rsid w:val="00B10AA1"/>
    <w:rsid w:val="00B118FC"/>
    <w:rsid w:val="00B1210B"/>
    <w:rsid w:val="00B129D4"/>
    <w:rsid w:val="00B12D95"/>
    <w:rsid w:val="00B12F3A"/>
    <w:rsid w:val="00B13441"/>
    <w:rsid w:val="00B22451"/>
    <w:rsid w:val="00B22640"/>
    <w:rsid w:val="00B22652"/>
    <w:rsid w:val="00B22929"/>
    <w:rsid w:val="00B22A95"/>
    <w:rsid w:val="00B238EB"/>
    <w:rsid w:val="00B23933"/>
    <w:rsid w:val="00B25E32"/>
    <w:rsid w:val="00B2752A"/>
    <w:rsid w:val="00B27613"/>
    <w:rsid w:val="00B30940"/>
    <w:rsid w:val="00B30CCF"/>
    <w:rsid w:val="00B32233"/>
    <w:rsid w:val="00B350B5"/>
    <w:rsid w:val="00B3603E"/>
    <w:rsid w:val="00B43746"/>
    <w:rsid w:val="00B46044"/>
    <w:rsid w:val="00B466B9"/>
    <w:rsid w:val="00B4741C"/>
    <w:rsid w:val="00B550C4"/>
    <w:rsid w:val="00B5656B"/>
    <w:rsid w:val="00B56CCB"/>
    <w:rsid w:val="00B56EDA"/>
    <w:rsid w:val="00B577B5"/>
    <w:rsid w:val="00B623EC"/>
    <w:rsid w:val="00B6317A"/>
    <w:rsid w:val="00B64580"/>
    <w:rsid w:val="00B646EC"/>
    <w:rsid w:val="00B64C58"/>
    <w:rsid w:val="00B667E5"/>
    <w:rsid w:val="00B70E12"/>
    <w:rsid w:val="00B7167B"/>
    <w:rsid w:val="00B71857"/>
    <w:rsid w:val="00B720CE"/>
    <w:rsid w:val="00B7391F"/>
    <w:rsid w:val="00B746E0"/>
    <w:rsid w:val="00B76D26"/>
    <w:rsid w:val="00B76DC4"/>
    <w:rsid w:val="00B80E76"/>
    <w:rsid w:val="00B85BF3"/>
    <w:rsid w:val="00B86A6A"/>
    <w:rsid w:val="00B90777"/>
    <w:rsid w:val="00B91774"/>
    <w:rsid w:val="00B938F3"/>
    <w:rsid w:val="00B949EC"/>
    <w:rsid w:val="00B95B76"/>
    <w:rsid w:val="00B964F9"/>
    <w:rsid w:val="00BA0961"/>
    <w:rsid w:val="00BA0DBC"/>
    <w:rsid w:val="00BA36EE"/>
    <w:rsid w:val="00BA4E8C"/>
    <w:rsid w:val="00BA5524"/>
    <w:rsid w:val="00BA5838"/>
    <w:rsid w:val="00BB29CB"/>
    <w:rsid w:val="00BB3F68"/>
    <w:rsid w:val="00BB4327"/>
    <w:rsid w:val="00BB7936"/>
    <w:rsid w:val="00BB7D6D"/>
    <w:rsid w:val="00BC1454"/>
    <w:rsid w:val="00BC3388"/>
    <w:rsid w:val="00BC64B8"/>
    <w:rsid w:val="00BD2934"/>
    <w:rsid w:val="00BD3530"/>
    <w:rsid w:val="00BD6FF3"/>
    <w:rsid w:val="00BE32A5"/>
    <w:rsid w:val="00BE491A"/>
    <w:rsid w:val="00BE4A03"/>
    <w:rsid w:val="00BE6ECB"/>
    <w:rsid w:val="00BE7759"/>
    <w:rsid w:val="00BF089B"/>
    <w:rsid w:val="00BF1BD2"/>
    <w:rsid w:val="00BF2C15"/>
    <w:rsid w:val="00BF4404"/>
    <w:rsid w:val="00BF45FC"/>
    <w:rsid w:val="00BF472A"/>
    <w:rsid w:val="00BF648B"/>
    <w:rsid w:val="00BF699D"/>
    <w:rsid w:val="00C01A8B"/>
    <w:rsid w:val="00C032A8"/>
    <w:rsid w:val="00C04778"/>
    <w:rsid w:val="00C0720D"/>
    <w:rsid w:val="00C07CD0"/>
    <w:rsid w:val="00C144EB"/>
    <w:rsid w:val="00C15BFA"/>
    <w:rsid w:val="00C2100C"/>
    <w:rsid w:val="00C21C09"/>
    <w:rsid w:val="00C26C36"/>
    <w:rsid w:val="00C303D7"/>
    <w:rsid w:val="00C31A0C"/>
    <w:rsid w:val="00C3576F"/>
    <w:rsid w:val="00C37212"/>
    <w:rsid w:val="00C37638"/>
    <w:rsid w:val="00C40544"/>
    <w:rsid w:val="00C44013"/>
    <w:rsid w:val="00C4638E"/>
    <w:rsid w:val="00C466EE"/>
    <w:rsid w:val="00C46933"/>
    <w:rsid w:val="00C54B34"/>
    <w:rsid w:val="00C6105B"/>
    <w:rsid w:val="00C6274A"/>
    <w:rsid w:val="00C628B9"/>
    <w:rsid w:val="00C634F0"/>
    <w:rsid w:val="00C649E7"/>
    <w:rsid w:val="00C65D85"/>
    <w:rsid w:val="00C67A0E"/>
    <w:rsid w:val="00C72EF4"/>
    <w:rsid w:val="00C73C26"/>
    <w:rsid w:val="00C75771"/>
    <w:rsid w:val="00C81B23"/>
    <w:rsid w:val="00C8240D"/>
    <w:rsid w:val="00C82C2D"/>
    <w:rsid w:val="00C82CDA"/>
    <w:rsid w:val="00C870A3"/>
    <w:rsid w:val="00C90E1C"/>
    <w:rsid w:val="00C9288E"/>
    <w:rsid w:val="00C957E8"/>
    <w:rsid w:val="00CA2E3F"/>
    <w:rsid w:val="00CA2FA9"/>
    <w:rsid w:val="00CA553A"/>
    <w:rsid w:val="00CA5A1C"/>
    <w:rsid w:val="00CB1398"/>
    <w:rsid w:val="00CB3802"/>
    <w:rsid w:val="00CC2D72"/>
    <w:rsid w:val="00CC3C37"/>
    <w:rsid w:val="00CC43FF"/>
    <w:rsid w:val="00CC4F1C"/>
    <w:rsid w:val="00CC5AFB"/>
    <w:rsid w:val="00CD0149"/>
    <w:rsid w:val="00CD01DC"/>
    <w:rsid w:val="00CD0837"/>
    <w:rsid w:val="00CD0BDC"/>
    <w:rsid w:val="00CD4CA8"/>
    <w:rsid w:val="00CD51F3"/>
    <w:rsid w:val="00CD5C7C"/>
    <w:rsid w:val="00CD6F26"/>
    <w:rsid w:val="00CE0F87"/>
    <w:rsid w:val="00CE1153"/>
    <w:rsid w:val="00CE189B"/>
    <w:rsid w:val="00CE7C07"/>
    <w:rsid w:val="00CF268A"/>
    <w:rsid w:val="00CF3D93"/>
    <w:rsid w:val="00CF50B6"/>
    <w:rsid w:val="00D031CB"/>
    <w:rsid w:val="00D06EC9"/>
    <w:rsid w:val="00D0728D"/>
    <w:rsid w:val="00D109DC"/>
    <w:rsid w:val="00D12C1F"/>
    <w:rsid w:val="00D159AD"/>
    <w:rsid w:val="00D15B03"/>
    <w:rsid w:val="00D17F76"/>
    <w:rsid w:val="00D20670"/>
    <w:rsid w:val="00D2106A"/>
    <w:rsid w:val="00D21205"/>
    <w:rsid w:val="00D21D44"/>
    <w:rsid w:val="00D26B51"/>
    <w:rsid w:val="00D27DE5"/>
    <w:rsid w:val="00D32AD2"/>
    <w:rsid w:val="00D35646"/>
    <w:rsid w:val="00D35C39"/>
    <w:rsid w:val="00D4024C"/>
    <w:rsid w:val="00D43D0B"/>
    <w:rsid w:val="00D450B6"/>
    <w:rsid w:val="00D5048F"/>
    <w:rsid w:val="00D52E03"/>
    <w:rsid w:val="00D5461A"/>
    <w:rsid w:val="00D5463A"/>
    <w:rsid w:val="00D608AE"/>
    <w:rsid w:val="00D6247E"/>
    <w:rsid w:val="00D6286D"/>
    <w:rsid w:val="00D62E88"/>
    <w:rsid w:val="00D63A57"/>
    <w:rsid w:val="00D644E8"/>
    <w:rsid w:val="00D664EF"/>
    <w:rsid w:val="00D67759"/>
    <w:rsid w:val="00D67D44"/>
    <w:rsid w:val="00D74CE0"/>
    <w:rsid w:val="00D755C9"/>
    <w:rsid w:val="00D75F59"/>
    <w:rsid w:val="00D76E59"/>
    <w:rsid w:val="00D77B45"/>
    <w:rsid w:val="00D77E4D"/>
    <w:rsid w:val="00D81706"/>
    <w:rsid w:val="00D858C4"/>
    <w:rsid w:val="00D86AA6"/>
    <w:rsid w:val="00D90943"/>
    <w:rsid w:val="00D94290"/>
    <w:rsid w:val="00D949B7"/>
    <w:rsid w:val="00D966EB"/>
    <w:rsid w:val="00D9683B"/>
    <w:rsid w:val="00DA47CE"/>
    <w:rsid w:val="00DA4B97"/>
    <w:rsid w:val="00DA6DFA"/>
    <w:rsid w:val="00DA79D5"/>
    <w:rsid w:val="00DB1995"/>
    <w:rsid w:val="00DB2380"/>
    <w:rsid w:val="00DB79F6"/>
    <w:rsid w:val="00DD0236"/>
    <w:rsid w:val="00DD0DD2"/>
    <w:rsid w:val="00DD1FB7"/>
    <w:rsid w:val="00DD2CD9"/>
    <w:rsid w:val="00DE054F"/>
    <w:rsid w:val="00DE082E"/>
    <w:rsid w:val="00DE2672"/>
    <w:rsid w:val="00DE463B"/>
    <w:rsid w:val="00DE6D18"/>
    <w:rsid w:val="00DE7AA2"/>
    <w:rsid w:val="00DF04E5"/>
    <w:rsid w:val="00DF17ED"/>
    <w:rsid w:val="00DF1F66"/>
    <w:rsid w:val="00DF27FC"/>
    <w:rsid w:val="00E00FC7"/>
    <w:rsid w:val="00E03EE2"/>
    <w:rsid w:val="00E04424"/>
    <w:rsid w:val="00E05B14"/>
    <w:rsid w:val="00E07A70"/>
    <w:rsid w:val="00E11AFF"/>
    <w:rsid w:val="00E22C15"/>
    <w:rsid w:val="00E24919"/>
    <w:rsid w:val="00E2792F"/>
    <w:rsid w:val="00E3004E"/>
    <w:rsid w:val="00E316D9"/>
    <w:rsid w:val="00E346A4"/>
    <w:rsid w:val="00E356ED"/>
    <w:rsid w:val="00E45644"/>
    <w:rsid w:val="00E462C9"/>
    <w:rsid w:val="00E47607"/>
    <w:rsid w:val="00E50ACC"/>
    <w:rsid w:val="00E52FCE"/>
    <w:rsid w:val="00E53F66"/>
    <w:rsid w:val="00E54119"/>
    <w:rsid w:val="00E55635"/>
    <w:rsid w:val="00E561C3"/>
    <w:rsid w:val="00E60290"/>
    <w:rsid w:val="00E61535"/>
    <w:rsid w:val="00E63B74"/>
    <w:rsid w:val="00E64EBB"/>
    <w:rsid w:val="00E6574C"/>
    <w:rsid w:val="00E657B8"/>
    <w:rsid w:val="00E70396"/>
    <w:rsid w:val="00E726EA"/>
    <w:rsid w:val="00E75748"/>
    <w:rsid w:val="00E76051"/>
    <w:rsid w:val="00E81014"/>
    <w:rsid w:val="00E84402"/>
    <w:rsid w:val="00E87B16"/>
    <w:rsid w:val="00E9177E"/>
    <w:rsid w:val="00E940F8"/>
    <w:rsid w:val="00E96B9C"/>
    <w:rsid w:val="00E96F09"/>
    <w:rsid w:val="00E9705E"/>
    <w:rsid w:val="00EA0882"/>
    <w:rsid w:val="00EA543F"/>
    <w:rsid w:val="00EB02CE"/>
    <w:rsid w:val="00EB1E7C"/>
    <w:rsid w:val="00EC0D33"/>
    <w:rsid w:val="00EC118F"/>
    <w:rsid w:val="00EC2225"/>
    <w:rsid w:val="00EC3F9A"/>
    <w:rsid w:val="00EC4975"/>
    <w:rsid w:val="00EC5F32"/>
    <w:rsid w:val="00EC7921"/>
    <w:rsid w:val="00ED071E"/>
    <w:rsid w:val="00ED1200"/>
    <w:rsid w:val="00ED3756"/>
    <w:rsid w:val="00ED3B14"/>
    <w:rsid w:val="00ED5298"/>
    <w:rsid w:val="00ED6A61"/>
    <w:rsid w:val="00ED7FA5"/>
    <w:rsid w:val="00EE7713"/>
    <w:rsid w:val="00F00119"/>
    <w:rsid w:val="00F01693"/>
    <w:rsid w:val="00F0207D"/>
    <w:rsid w:val="00F0212C"/>
    <w:rsid w:val="00F02240"/>
    <w:rsid w:val="00F04C6F"/>
    <w:rsid w:val="00F04FB1"/>
    <w:rsid w:val="00F116BC"/>
    <w:rsid w:val="00F11BC9"/>
    <w:rsid w:val="00F1581F"/>
    <w:rsid w:val="00F16A0B"/>
    <w:rsid w:val="00F20916"/>
    <w:rsid w:val="00F23E58"/>
    <w:rsid w:val="00F25160"/>
    <w:rsid w:val="00F279B8"/>
    <w:rsid w:val="00F33F0B"/>
    <w:rsid w:val="00F371D7"/>
    <w:rsid w:val="00F37474"/>
    <w:rsid w:val="00F37F60"/>
    <w:rsid w:val="00F418A9"/>
    <w:rsid w:val="00F45B5C"/>
    <w:rsid w:val="00F46F35"/>
    <w:rsid w:val="00F510E5"/>
    <w:rsid w:val="00F55C7D"/>
    <w:rsid w:val="00F563ED"/>
    <w:rsid w:val="00F62BC0"/>
    <w:rsid w:val="00F66EA6"/>
    <w:rsid w:val="00F66FA9"/>
    <w:rsid w:val="00F70CC2"/>
    <w:rsid w:val="00F71CF3"/>
    <w:rsid w:val="00F7265E"/>
    <w:rsid w:val="00F73B56"/>
    <w:rsid w:val="00F75194"/>
    <w:rsid w:val="00F7614F"/>
    <w:rsid w:val="00F774D3"/>
    <w:rsid w:val="00F8105E"/>
    <w:rsid w:val="00F8259D"/>
    <w:rsid w:val="00F82F86"/>
    <w:rsid w:val="00F8547E"/>
    <w:rsid w:val="00F86E4D"/>
    <w:rsid w:val="00F903B5"/>
    <w:rsid w:val="00F92178"/>
    <w:rsid w:val="00F93464"/>
    <w:rsid w:val="00F93A3F"/>
    <w:rsid w:val="00F95285"/>
    <w:rsid w:val="00F97026"/>
    <w:rsid w:val="00F97164"/>
    <w:rsid w:val="00F97279"/>
    <w:rsid w:val="00F97308"/>
    <w:rsid w:val="00F97C2F"/>
    <w:rsid w:val="00FA1370"/>
    <w:rsid w:val="00FA1B3E"/>
    <w:rsid w:val="00FA5AB5"/>
    <w:rsid w:val="00FB16A3"/>
    <w:rsid w:val="00FB4176"/>
    <w:rsid w:val="00FB4B42"/>
    <w:rsid w:val="00FC05AB"/>
    <w:rsid w:val="00FC2246"/>
    <w:rsid w:val="00FC2920"/>
    <w:rsid w:val="00FC32CA"/>
    <w:rsid w:val="00FC3344"/>
    <w:rsid w:val="00FC63AD"/>
    <w:rsid w:val="00FC7BFF"/>
    <w:rsid w:val="00FD0F51"/>
    <w:rsid w:val="00FD114D"/>
    <w:rsid w:val="00FD1708"/>
    <w:rsid w:val="00FD25CE"/>
    <w:rsid w:val="00FD4E29"/>
    <w:rsid w:val="00FD7A65"/>
    <w:rsid w:val="00FE1473"/>
    <w:rsid w:val="00FE4790"/>
    <w:rsid w:val="00FE5933"/>
    <w:rsid w:val="00FE5F93"/>
    <w:rsid w:val="00FF42A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D9A434"/>
  <w15:docId w15:val="{1F91D25C-8DF5-4BB6-B8CA-4BDC3139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76"/>
  </w:style>
  <w:style w:type="paragraph" w:styleId="Heading1">
    <w:name w:val="heading 1"/>
    <w:basedOn w:val="Normal"/>
    <w:next w:val="Normal"/>
    <w:link w:val="Heading1Char"/>
    <w:qFormat/>
    <w:rsid w:val="0002001C"/>
    <w:pPr>
      <w:keepNext/>
      <w:numPr>
        <w:numId w:val="1"/>
      </w:numPr>
      <w:spacing w:before="240" w:after="240" w:line="276" w:lineRule="auto"/>
      <w:outlineLvl w:val="0"/>
    </w:pPr>
    <w:rPr>
      <w:rFonts w:ascii="Calibri" w:eastAsia="Times New Roman" w:hAnsi="Calibri" w:cs="Times New Roman"/>
      <w:b/>
      <w:bCs/>
      <w:caps/>
      <w:sz w:val="24"/>
      <w:szCs w:val="20"/>
      <w:lang w:val="en-GB" w:eastAsia="nb-NO"/>
    </w:rPr>
  </w:style>
  <w:style w:type="paragraph" w:styleId="Heading2">
    <w:name w:val="heading 2"/>
    <w:basedOn w:val="Normal"/>
    <w:next w:val="Normal"/>
    <w:link w:val="Heading2Char"/>
    <w:qFormat/>
    <w:rsid w:val="0002001C"/>
    <w:pPr>
      <w:keepNext/>
      <w:numPr>
        <w:ilvl w:val="1"/>
        <w:numId w:val="1"/>
      </w:numPr>
      <w:spacing w:before="240" w:after="240" w:line="276" w:lineRule="auto"/>
      <w:outlineLvl w:val="1"/>
    </w:pPr>
    <w:rPr>
      <w:rFonts w:ascii="Calibri" w:eastAsiaTheme="minorEastAsia" w:hAnsi="Calibri" w:cs="Arial"/>
      <w:b/>
      <w:bCs/>
      <w:iCs/>
      <w:caps/>
      <w:szCs w:val="20"/>
      <w:lang w:val="en-GB" w:eastAsia="nb-NO"/>
    </w:rPr>
  </w:style>
  <w:style w:type="paragraph" w:styleId="Heading3">
    <w:name w:val="heading 3"/>
    <w:basedOn w:val="Normal"/>
    <w:next w:val="Normal"/>
    <w:link w:val="Heading3Char"/>
    <w:qFormat/>
    <w:rsid w:val="0002001C"/>
    <w:pPr>
      <w:keepNext/>
      <w:numPr>
        <w:ilvl w:val="2"/>
        <w:numId w:val="1"/>
      </w:numPr>
      <w:spacing w:before="240" w:after="240" w:line="276" w:lineRule="auto"/>
      <w:outlineLvl w:val="2"/>
    </w:pPr>
    <w:rPr>
      <w:rFonts w:eastAsiaTheme="minorEastAsia" w:cs="Arial"/>
      <w:b/>
      <w:bCs/>
      <w:szCs w:val="26"/>
      <w:lang w:val="en-GB" w:eastAsia="nb-NO"/>
    </w:rPr>
  </w:style>
  <w:style w:type="paragraph" w:styleId="Heading4">
    <w:name w:val="heading 4"/>
    <w:basedOn w:val="Normal"/>
    <w:next w:val="Normal"/>
    <w:link w:val="Heading4Char"/>
    <w:qFormat/>
    <w:rsid w:val="006636AB"/>
    <w:pPr>
      <w:keepNext/>
      <w:numPr>
        <w:ilvl w:val="3"/>
        <w:numId w:val="1"/>
      </w:numPr>
      <w:spacing w:before="240" w:after="60" w:line="276" w:lineRule="auto"/>
      <w:outlineLvl w:val="3"/>
    </w:pPr>
    <w:rPr>
      <w:rFonts w:eastAsiaTheme="minorEastAsia" w:cs="Times New Roman"/>
      <w:b/>
      <w:bCs/>
      <w:sz w:val="20"/>
      <w:szCs w:val="20"/>
      <w:lang w:val="en-GB" w:eastAsia="nb-NO"/>
    </w:rPr>
  </w:style>
  <w:style w:type="paragraph" w:styleId="Heading5">
    <w:name w:val="heading 5"/>
    <w:basedOn w:val="Normal"/>
    <w:next w:val="Normal"/>
    <w:link w:val="Heading5Char"/>
    <w:qFormat/>
    <w:rsid w:val="0090231C"/>
    <w:pPr>
      <w:numPr>
        <w:ilvl w:val="4"/>
        <w:numId w:val="1"/>
      </w:numPr>
      <w:spacing w:before="240" w:after="60" w:line="276" w:lineRule="auto"/>
      <w:outlineLvl w:val="4"/>
    </w:pPr>
    <w:rPr>
      <w:rFonts w:ascii="Calibri" w:eastAsia="Times New Roman" w:hAnsi="Calibri" w:cs="Times New Roman"/>
      <w:b/>
      <w:bCs/>
      <w:i/>
      <w:iCs/>
      <w:sz w:val="26"/>
      <w:szCs w:val="26"/>
      <w:lang w:eastAsia="nb-NO"/>
    </w:rPr>
  </w:style>
  <w:style w:type="paragraph" w:styleId="Heading6">
    <w:name w:val="heading 6"/>
    <w:basedOn w:val="Normal"/>
    <w:next w:val="Normal"/>
    <w:link w:val="Heading6Char"/>
    <w:qFormat/>
    <w:rsid w:val="0090231C"/>
    <w:pPr>
      <w:keepNext/>
      <w:numPr>
        <w:ilvl w:val="5"/>
        <w:numId w:val="1"/>
      </w:numPr>
      <w:spacing w:after="200" w:line="276" w:lineRule="auto"/>
      <w:outlineLvl w:val="5"/>
    </w:pPr>
    <w:rPr>
      <w:rFonts w:ascii="Calibri" w:eastAsia="Times New Roman" w:hAnsi="Calibri" w:cs="Times New Roman"/>
      <w:b/>
      <w:sz w:val="24"/>
      <w:lang w:eastAsia="nb-NO"/>
    </w:rPr>
  </w:style>
  <w:style w:type="paragraph" w:styleId="Heading7">
    <w:name w:val="heading 7"/>
    <w:basedOn w:val="Normal"/>
    <w:next w:val="Normal"/>
    <w:link w:val="Heading7Char"/>
    <w:qFormat/>
    <w:rsid w:val="0090231C"/>
    <w:pPr>
      <w:numPr>
        <w:ilvl w:val="6"/>
        <w:numId w:val="1"/>
      </w:numPr>
      <w:spacing w:before="240" w:after="60" w:line="276" w:lineRule="auto"/>
      <w:outlineLvl w:val="6"/>
    </w:pPr>
    <w:rPr>
      <w:rFonts w:ascii="Times New Roman" w:eastAsia="Times New Roman" w:hAnsi="Times New Roman" w:cs="Times New Roman"/>
      <w:sz w:val="24"/>
      <w:lang w:eastAsia="nb-NO"/>
    </w:rPr>
  </w:style>
  <w:style w:type="paragraph" w:styleId="Heading8">
    <w:name w:val="heading 8"/>
    <w:basedOn w:val="Normal"/>
    <w:next w:val="Normal"/>
    <w:link w:val="Heading8Char"/>
    <w:qFormat/>
    <w:rsid w:val="0090231C"/>
    <w:pPr>
      <w:numPr>
        <w:ilvl w:val="7"/>
        <w:numId w:val="1"/>
      </w:numPr>
      <w:spacing w:before="240" w:after="60" w:line="276" w:lineRule="auto"/>
      <w:outlineLvl w:val="7"/>
    </w:pPr>
    <w:rPr>
      <w:rFonts w:ascii="Times New Roman" w:eastAsia="Times New Roman" w:hAnsi="Times New Roman" w:cs="Times New Roman"/>
      <w:i/>
      <w:iCs/>
      <w:sz w:val="24"/>
      <w:lang w:eastAsia="nb-NO"/>
    </w:rPr>
  </w:style>
  <w:style w:type="paragraph" w:styleId="Heading9">
    <w:name w:val="heading 9"/>
    <w:basedOn w:val="Normal"/>
    <w:next w:val="Normal"/>
    <w:link w:val="Heading9Char"/>
    <w:qFormat/>
    <w:rsid w:val="0090231C"/>
    <w:pPr>
      <w:numPr>
        <w:ilvl w:val="8"/>
        <w:numId w:val="1"/>
      </w:numPr>
      <w:spacing w:before="240" w:after="60" w:line="276" w:lineRule="auto"/>
      <w:outlineLvl w:val="8"/>
    </w:pPr>
    <w:rPr>
      <w:rFonts w:ascii="Arial" w:eastAsia="Times New Roman" w:hAnsi="Arial" w:cs="Arial"/>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01C"/>
    <w:rPr>
      <w:rFonts w:ascii="Calibri" w:eastAsia="Times New Roman" w:hAnsi="Calibri" w:cs="Times New Roman"/>
      <w:b/>
      <w:bCs/>
      <w:caps/>
      <w:sz w:val="24"/>
      <w:szCs w:val="20"/>
      <w:lang w:val="en-GB" w:eastAsia="nb-NO"/>
    </w:rPr>
  </w:style>
  <w:style w:type="character" w:customStyle="1" w:styleId="Heading2Char">
    <w:name w:val="Heading 2 Char"/>
    <w:basedOn w:val="DefaultParagraphFont"/>
    <w:link w:val="Heading2"/>
    <w:rsid w:val="0002001C"/>
    <w:rPr>
      <w:rFonts w:ascii="Calibri" w:eastAsiaTheme="minorEastAsia" w:hAnsi="Calibri" w:cs="Arial"/>
      <w:b/>
      <w:bCs/>
      <w:iCs/>
      <w:caps/>
      <w:szCs w:val="20"/>
      <w:lang w:val="en-GB" w:eastAsia="nb-NO"/>
    </w:rPr>
  </w:style>
  <w:style w:type="character" w:customStyle="1" w:styleId="Heading3Char">
    <w:name w:val="Heading 3 Char"/>
    <w:basedOn w:val="DefaultParagraphFont"/>
    <w:link w:val="Heading3"/>
    <w:rsid w:val="0002001C"/>
    <w:rPr>
      <w:rFonts w:eastAsiaTheme="minorEastAsia" w:cs="Arial"/>
      <w:b/>
      <w:bCs/>
      <w:szCs w:val="26"/>
      <w:lang w:val="en-GB" w:eastAsia="nb-NO"/>
    </w:rPr>
  </w:style>
  <w:style w:type="character" w:customStyle="1" w:styleId="Heading4Char">
    <w:name w:val="Heading 4 Char"/>
    <w:basedOn w:val="DefaultParagraphFont"/>
    <w:link w:val="Heading4"/>
    <w:rsid w:val="006636AB"/>
    <w:rPr>
      <w:rFonts w:eastAsiaTheme="minorEastAsia" w:cs="Times New Roman"/>
      <w:b/>
      <w:bCs/>
      <w:sz w:val="20"/>
      <w:szCs w:val="20"/>
      <w:lang w:val="en-GB" w:eastAsia="nb-NO"/>
    </w:rPr>
  </w:style>
  <w:style w:type="character" w:customStyle="1" w:styleId="Heading5Char">
    <w:name w:val="Heading 5 Char"/>
    <w:basedOn w:val="DefaultParagraphFont"/>
    <w:link w:val="Heading5"/>
    <w:rsid w:val="0090231C"/>
    <w:rPr>
      <w:rFonts w:ascii="Calibri" w:eastAsia="Times New Roman" w:hAnsi="Calibri" w:cs="Times New Roman"/>
      <w:b/>
      <w:bCs/>
      <w:i/>
      <w:iCs/>
      <w:sz w:val="26"/>
      <w:szCs w:val="26"/>
      <w:lang w:eastAsia="nb-NO"/>
    </w:rPr>
  </w:style>
  <w:style w:type="character" w:customStyle="1" w:styleId="Heading6Char">
    <w:name w:val="Heading 6 Char"/>
    <w:basedOn w:val="DefaultParagraphFont"/>
    <w:link w:val="Heading6"/>
    <w:rsid w:val="0090231C"/>
    <w:rPr>
      <w:rFonts w:ascii="Calibri" w:eastAsia="Times New Roman" w:hAnsi="Calibri" w:cs="Times New Roman"/>
      <w:b/>
      <w:sz w:val="24"/>
      <w:lang w:eastAsia="nb-NO"/>
    </w:rPr>
  </w:style>
  <w:style w:type="character" w:customStyle="1" w:styleId="Heading7Char">
    <w:name w:val="Heading 7 Char"/>
    <w:basedOn w:val="DefaultParagraphFont"/>
    <w:link w:val="Heading7"/>
    <w:rsid w:val="0090231C"/>
    <w:rPr>
      <w:rFonts w:ascii="Times New Roman" w:eastAsia="Times New Roman" w:hAnsi="Times New Roman" w:cs="Times New Roman"/>
      <w:sz w:val="24"/>
      <w:lang w:eastAsia="nb-NO"/>
    </w:rPr>
  </w:style>
  <w:style w:type="character" w:customStyle="1" w:styleId="Heading8Char">
    <w:name w:val="Heading 8 Char"/>
    <w:basedOn w:val="DefaultParagraphFont"/>
    <w:link w:val="Heading8"/>
    <w:rsid w:val="0090231C"/>
    <w:rPr>
      <w:rFonts w:ascii="Times New Roman" w:eastAsia="Times New Roman" w:hAnsi="Times New Roman" w:cs="Times New Roman"/>
      <w:i/>
      <w:iCs/>
      <w:sz w:val="24"/>
      <w:lang w:eastAsia="nb-NO"/>
    </w:rPr>
  </w:style>
  <w:style w:type="character" w:customStyle="1" w:styleId="Heading9Char">
    <w:name w:val="Heading 9 Char"/>
    <w:basedOn w:val="DefaultParagraphFont"/>
    <w:link w:val="Heading9"/>
    <w:rsid w:val="0090231C"/>
    <w:rPr>
      <w:rFonts w:ascii="Arial" w:eastAsia="Times New Roman" w:hAnsi="Arial" w:cs="Arial"/>
      <w:lang w:eastAsia="nb-NO"/>
    </w:rPr>
  </w:style>
  <w:style w:type="table" w:styleId="TableGrid">
    <w:name w:val="Table Grid"/>
    <w:basedOn w:val="TableNormal"/>
    <w:uiPriority w:val="59"/>
    <w:rsid w:val="002B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90DA6"/>
    <w:rPr>
      <w:rFonts w:ascii="Tahoma" w:hAnsi="Tahoma" w:cs="Tahoma"/>
      <w:sz w:val="16"/>
      <w:szCs w:val="16"/>
    </w:rPr>
  </w:style>
  <w:style w:type="character" w:customStyle="1" w:styleId="BalloonTextChar">
    <w:name w:val="Balloon Text Char"/>
    <w:basedOn w:val="DefaultParagraphFont"/>
    <w:link w:val="BalloonText"/>
    <w:uiPriority w:val="99"/>
    <w:semiHidden/>
    <w:rsid w:val="00790DA6"/>
    <w:rPr>
      <w:rFonts w:ascii="Tahoma" w:hAnsi="Tahoma" w:cs="Tahoma"/>
      <w:sz w:val="16"/>
      <w:szCs w:val="16"/>
    </w:rPr>
  </w:style>
  <w:style w:type="table" w:customStyle="1" w:styleId="OsloBrsVPS-blank">
    <w:name w:val="Oslo Børs VPS - blank"/>
    <w:basedOn w:val="TableNormal"/>
    <w:uiPriority w:val="99"/>
    <w:rsid w:val="0079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OsloBrsVPS-bloverskrift">
    <w:name w:val="Oslo Børs VPS - blå overskrift"/>
    <w:basedOn w:val="TableNormal"/>
    <w:uiPriority w:val="99"/>
    <w:rsid w:val="0079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style>
  <w:style w:type="table" w:customStyle="1" w:styleId="OsloBrsVPS-grraderjevnestriper">
    <w:name w:val="Oslo Børs VPS - grå rader jevne striper"/>
    <w:basedOn w:val="TableNormal"/>
    <w:uiPriority w:val="99"/>
    <w:rsid w:val="00790DA6"/>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3366"/>
      </w:tcPr>
    </w:tblStylePr>
    <w:tblStylePr w:type="band2Horz">
      <w:tblPr/>
      <w:tcPr>
        <w:shd w:val="clear" w:color="auto" w:fill="CDCCBF"/>
      </w:tcPr>
    </w:tblStylePr>
  </w:style>
  <w:style w:type="table" w:customStyle="1" w:styleId="OsloBrsVPS-grkolonnerjevnestriper">
    <w:name w:val="Oslo Børs VPS - grå kolonner jevne striper"/>
    <w:basedOn w:val="TableNormal"/>
    <w:uiPriority w:val="99"/>
    <w:rsid w:val="005A081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Vert">
      <w:tblPr/>
      <w:tcPr>
        <w:shd w:val="clear" w:color="auto" w:fill="CDCCBF"/>
      </w:tcPr>
    </w:tblStylePr>
  </w:style>
  <w:style w:type="table" w:customStyle="1" w:styleId="OsloBrsVPS-grkolonnerujevnestriper">
    <w:name w:val="Oslo Børs VPS - grå kolonner ujevne striper"/>
    <w:basedOn w:val="TableNormal"/>
    <w:uiPriority w:val="99"/>
    <w:rsid w:val="0005368D"/>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tblPr/>
      <w:tcPr>
        <w:shd w:val="clear" w:color="auto" w:fill="CDCCBF"/>
      </w:tcPr>
    </w:tblStylePr>
  </w:style>
  <w:style w:type="table" w:customStyle="1" w:styleId="OsloBrsVPS-bloverskriftutenrutenett">
    <w:name w:val="Oslo Børs VPS - blå overskrift uten rutenett"/>
    <w:basedOn w:val="TableNormal"/>
    <w:uiPriority w:val="99"/>
    <w:rsid w:val="006B6CBE"/>
    <w:tblPr/>
    <w:tblStylePr w:type="firstRow">
      <w:rPr>
        <w:rFonts w:asciiTheme="minorHAnsi" w:hAnsiTheme="minorHAnsi"/>
        <w:b/>
        <w:sz w:val="22"/>
      </w:rPr>
      <w:tblPr/>
      <w:tcPr>
        <w:shd w:val="clear" w:color="auto" w:fill="003366"/>
      </w:tcPr>
    </w:tblStylePr>
  </w:style>
  <w:style w:type="table" w:customStyle="1" w:styleId="OsloBrsVPS-grraderjevnestriperutenrutenett">
    <w:name w:val="Oslo Børs VPS - grå rader jevne striper uten rutenett"/>
    <w:basedOn w:val="TableNormal"/>
    <w:uiPriority w:val="99"/>
    <w:rsid w:val="006B6CBE"/>
    <w:tblPr>
      <w:tblStyleRowBandSize w:val="1"/>
    </w:tblPr>
    <w:tblStylePr w:type="firstRow">
      <w:rPr>
        <w:rFonts w:asciiTheme="minorHAnsi" w:hAnsiTheme="minorHAnsi"/>
        <w:b/>
        <w:sz w:val="22"/>
      </w:rPr>
      <w:tblPr/>
      <w:tcPr>
        <w:shd w:val="clear" w:color="auto" w:fill="003366"/>
      </w:tcPr>
    </w:tblStylePr>
    <w:tblStylePr w:type="band2Horz">
      <w:tblPr/>
      <w:tcPr>
        <w:shd w:val="clear" w:color="auto" w:fill="CDCCBF"/>
      </w:tcPr>
    </w:tblStylePr>
  </w:style>
  <w:style w:type="table" w:customStyle="1" w:styleId="OsloBrsVPS-grkolonnerjevnestriperutenrutenett">
    <w:name w:val="Oslo Børs VPS - grå kolonner jevne striper uten rutenett"/>
    <w:basedOn w:val="TableNormal"/>
    <w:uiPriority w:val="99"/>
    <w:rsid w:val="006B6CBE"/>
    <w:tblPr>
      <w:tblStyleColBandSize w:val="1"/>
    </w:tblPr>
    <w:tblStylePr w:type="firstRow">
      <w:rPr>
        <w:rFonts w:asciiTheme="minorHAnsi" w:hAnsiTheme="minorHAnsi"/>
        <w:b/>
        <w:sz w:val="22"/>
      </w:rPr>
      <w:tblPr/>
      <w:tcPr>
        <w:shd w:val="clear" w:color="auto" w:fill="003366"/>
      </w:tcPr>
    </w:tblStylePr>
    <w:tblStylePr w:type="band2Vert">
      <w:tblPr/>
      <w:tcPr>
        <w:shd w:val="clear" w:color="auto" w:fill="CDCCBF"/>
      </w:tcPr>
    </w:tblStylePr>
  </w:style>
  <w:style w:type="table" w:customStyle="1" w:styleId="OsloBrsVPS-grkolonnerujevnestriperutenrutenett">
    <w:name w:val="Oslo Børs VPS - grå kolonner ujevne striper uten rutenett"/>
    <w:basedOn w:val="TableNormal"/>
    <w:uiPriority w:val="99"/>
    <w:rsid w:val="006B6CBE"/>
    <w:tblPr>
      <w:tblStyleColBandSize w:val="1"/>
    </w:tblPr>
    <w:tblStylePr w:type="firstRow">
      <w:rPr>
        <w:rFonts w:asciiTheme="minorHAnsi" w:hAnsiTheme="minorHAnsi"/>
        <w:b/>
        <w:sz w:val="22"/>
      </w:rPr>
      <w:tblPr/>
      <w:tcPr>
        <w:shd w:val="clear" w:color="auto" w:fill="003366"/>
      </w:tcPr>
    </w:tblStylePr>
    <w:tblStylePr w:type="band1Vert">
      <w:tblPr/>
      <w:tcPr>
        <w:shd w:val="clear" w:color="auto" w:fill="CDCCBF"/>
      </w:tcPr>
    </w:tblStylePr>
  </w:style>
  <w:style w:type="table" w:customStyle="1" w:styleId="OsloBrsVPS-blraderjevnestriper">
    <w:name w:val="Oslo Børs VPS - blå rader jevne striper"/>
    <w:basedOn w:val="TableNormal"/>
    <w:uiPriority w:val="99"/>
    <w:rsid w:val="00D35C39"/>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Horz">
      <w:rPr>
        <w:color w:val="FFFFFF" w:themeColor="background1"/>
      </w:rPr>
      <w:tblPr/>
      <w:tcPr>
        <w:shd w:val="clear" w:color="auto" w:fill="6699CC"/>
      </w:tcPr>
    </w:tblStylePr>
  </w:style>
  <w:style w:type="table" w:customStyle="1" w:styleId="OsloBrsVPS-blraderjevnestriperutenrutenett">
    <w:name w:val="Oslo Børs VPS - blå rader jevne striper uten rutenett"/>
    <w:basedOn w:val="TableNormal"/>
    <w:uiPriority w:val="99"/>
    <w:rsid w:val="00A22C39"/>
    <w:tblPr>
      <w:tblStyleRowBandSize w:val="1"/>
    </w:tblPr>
    <w:tblStylePr w:type="firstRow">
      <w:rPr>
        <w:rFonts w:asciiTheme="minorHAnsi" w:hAnsiTheme="minorHAnsi"/>
        <w:b/>
        <w:sz w:val="22"/>
      </w:rPr>
      <w:tblPr/>
      <w:tcPr>
        <w:shd w:val="clear" w:color="auto" w:fill="003366"/>
      </w:tcPr>
    </w:tblStylePr>
    <w:tblStylePr w:type="band2Horz">
      <w:rPr>
        <w:color w:val="FFFFFF" w:themeColor="background1"/>
      </w:rPr>
      <w:tblPr/>
      <w:tcPr>
        <w:shd w:val="clear" w:color="auto" w:fill="6699CC"/>
      </w:tcPr>
    </w:tblStylePr>
  </w:style>
  <w:style w:type="table" w:customStyle="1" w:styleId="OsloBrsVPS-blkolonnerjevnestriper">
    <w:name w:val="Oslo Børs VPS - blå kolonner jevne striper"/>
    <w:basedOn w:val="TableNormal"/>
    <w:uiPriority w:val="99"/>
    <w:rsid w:val="00BD293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Vert">
      <w:rPr>
        <w:color w:val="FFFFFF" w:themeColor="background1"/>
      </w:rPr>
      <w:tblPr/>
      <w:tcPr>
        <w:shd w:val="clear" w:color="auto" w:fill="6699CC"/>
      </w:tcPr>
    </w:tblStylePr>
    <w:tblStylePr w:type="band2Horz">
      <w:rPr>
        <w:color w:val="auto"/>
      </w:rPr>
    </w:tblStylePr>
  </w:style>
  <w:style w:type="table" w:customStyle="1" w:styleId="OsloBrsVPS-blkolonnerjevnestriperutenrutenett">
    <w:name w:val="Oslo Børs VPS - blå kolonner jevne striper uten rutenett"/>
    <w:basedOn w:val="TableNormal"/>
    <w:uiPriority w:val="99"/>
    <w:rsid w:val="00BD2934"/>
    <w:tblPr>
      <w:tblStyleColBandSize w:val="1"/>
    </w:tblPr>
    <w:tblStylePr w:type="firstRow">
      <w:rPr>
        <w:rFonts w:asciiTheme="minorHAnsi" w:hAnsiTheme="minorHAnsi"/>
        <w:b/>
        <w:sz w:val="22"/>
      </w:rPr>
      <w:tblPr/>
      <w:tcPr>
        <w:shd w:val="clear" w:color="auto" w:fill="003366"/>
      </w:tcPr>
    </w:tblStylePr>
    <w:tblStylePr w:type="band2Vert">
      <w:rPr>
        <w:color w:val="FFFFFF" w:themeColor="background1"/>
      </w:rPr>
      <w:tblPr/>
      <w:tcPr>
        <w:shd w:val="clear" w:color="auto" w:fill="6699CC"/>
      </w:tcPr>
    </w:tblStylePr>
  </w:style>
  <w:style w:type="table" w:customStyle="1" w:styleId="OsloBrsVPS-blkolonnerujevnestriper">
    <w:name w:val="Oslo Børs VPS - blå kolonner ujevne striper"/>
    <w:basedOn w:val="TableNormal"/>
    <w:uiPriority w:val="99"/>
    <w:rsid w:val="00BD2934"/>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rPr>
        <w:color w:val="FFFFFF" w:themeColor="background1"/>
      </w:rPr>
      <w:tblPr/>
      <w:tcPr>
        <w:shd w:val="clear" w:color="auto" w:fill="6699CC"/>
      </w:tcPr>
    </w:tblStylePr>
  </w:style>
  <w:style w:type="table" w:customStyle="1" w:styleId="OsloBrsVPS-blkolonnerujevnestriperutenrutenett">
    <w:name w:val="Oslo Børs VPS - blå kolonner ujevne striper uten rutenett"/>
    <w:basedOn w:val="TableNormal"/>
    <w:uiPriority w:val="99"/>
    <w:rsid w:val="00BD2934"/>
    <w:tblPr>
      <w:tblStyleColBandSize w:val="1"/>
    </w:tblPr>
    <w:tblStylePr w:type="firstRow">
      <w:rPr>
        <w:b/>
      </w:rPr>
      <w:tblPr/>
      <w:tcPr>
        <w:shd w:val="clear" w:color="auto" w:fill="003366"/>
      </w:tcPr>
    </w:tblStylePr>
    <w:tblStylePr w:type="band1Vert">
      <w:rPr>
        <w:color w:val="FFFFFF" w:themeColor="background1"/>
      </w:rPr>
      <w:tblPr/>
      <w:tcPr>
        <w:shd w:val="clear" w:color="auto" w:fill="6699CC"/>
      </w:tcPr>
    </w:tblStylePr>
  </w:style>
  <w:style w:type="table" w:customStyle="1" w:styleId="OsloBrsVPS-oransjeraderjevnestriper">
    <w:name w:val="Oslo Børs VPS - oransje rader jevne striper"/>
    <w:basedOn w:val="TableNormal"/>
    <w:uiPriority w:val="99"/>
    <w:rsid w:val="0050293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2Horz">
      <w:tblPr/>
      <w:tcPr>
        <w:shd w:val="clear" w:color="auto" w:fill="DF9B1B"/>
      </w:tcPr>
    </w:tblStylePr>
  </w:style>
  <w:style w:type="table" w:customStyle="1" w:styleId="OsloBrsVPS-oransjeraderjevnestriperutenrutenett">
    <w:name w:val="Oslo Børs VPS - oransje rader jevne striper uten rutenett"/>
    <w:basedOn w:val="TableNormal"/>
    <w:uiPriority w:val="99"/>
    <w:rsid w:val="0050293B"/>
    <w:tblPr>
      <w:tblStyleRowBandSize w:val="1"/>
    </w:tblPr>
    <w:tblStylePr w:type="firstRow">
      <w:rPr>
        <w:rFonts w:asciiTheme="minorHAnsi" w:hAnsiTheme="minorHAnsi"/>
        <w:b/>
        <w:sz w:val="22"/>
      </w:rPr>
      <w:tblPr/>
      <w:tcPr>
        <w:shd w:val="clear" w:color="auto" w:fill="003366"/>
      </w:tcPr>
    </w:tblStylePr>
    <w:tblStylePr w:type="band2Horz">
      <w:tblPr/>
      <w:tcPr>
        <w:shd w:val="clear" w:color="auto" w:fill="DF9B1B"/>
      </w:tcPr>
    </w:tblStylePr>
  </w:style>
  <w:style w:type="table" w:customStyle="1" w:styleId="OsloBrsVPS-oransjekolonnerjevnestriper">
    <w:name w:val="Oslo Børs VPS - oransje kolonner jevne striper"/>
    <w:basedOn w:val="TableNormal"/>
    <w:uiPriority w:val="99"/>
    <w:rsid w:val="005D5BE3"/>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tcBorders>
          <w:top w:val="nil"/>
          <w:left w:val="nil"/>
          <w:bottom w:val="nil"/>
          <w:right w:val="nil"/>
          <w:insideH w:val="nil"/>
          <w:insideV w:val="nil"/>
        </w:tcBorders>
        <w:shd w:val="clear" w:color="auto" w:fill="003366"/>
      </w:tcPr>
    </w:tblStylePr>
    <w:tblStylePr w:type="band2Vert">
      <w:tblPr/>
      <w:tcPr>
        <w:shd w:val="clear" w:color="auto" w:fill="DF9B1B"/>
      </w:tcPr>
    </w:tblStylePr>
  </w:style>
  <w:style w:type="table" w:customStyle="1" w:styleId="OsloBrsVPS-oransjekolonnerjevnestriperutenrutenett">
    <w:name w:val="Oslo Børs VPS - oransje kolonner jevne striper uten rutenett"/>
    <w:basedOn w:val="TableNormal"/>
    <w:uiPriority w:val="99"/>
    <w:rsid w:val="005D5BE3"/>
    <w:tblPr>
      <w:tblStyleColBandSize w:val="1"/>
    </w:tblPr>
    <w:tblStylePr w:type="firstRow">
      <w:rPr>
        <w:rFonts w:asciiTheme="minorHAnsi" w:hAnsiTheme="minorHAnsi"/>
        <w:b/>
        <w:sz w:val="22"/>
      </w:rPr>
      <w:tblPr/>
      <w:tcPr>
        <w:shd w:val="clear" w:color="auto" w:fill="003366"/>
      </w:tcPr>
    </w:tblStylePr>
    <w:tblStylePr w:type="band2Vert">
      <w:tblPr/>
      <w:tcPr>
        <w:shd w:val="clear" w:color="auto" w:fill="DF9B1B"/>
      </w:tcPr>
    </w:tblStylePr>
  </w:style>
  <w:style w:type="table" w:customStyle="1" w:styleId="OsloBrsVPS-oransjekolonnerujevnestriper">
    <w:name w:val="Oslo Børs VPS - oransje kolonner ujevne striper"/>
    <w:basedOn w:val="TableNormal"/>
    <w:uiPriority w:val="99"/>
    <w:rsid w:val="005D5BE3"/>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003366"/>
      </w:tcPr>
    </w:tblStylePr>
    <w:tblStylePr w:type="band1Vert">
      <w:tblPr/>
      <w:tcPr>
        <w:shd w:val="clear" w:color="auto" w:fill="DF9B1B"/>
      </w:tcPr>
    </w:tblStylePr>
  </w:style>
  <w:style w:type="table" w:customStyle="1" w:styleId="OsloBrsVPS-oransjekolonnerujevnestriperutenrutenett">
    <w:name w:val="Oslo Børs VPS - oransje kolonner ujevne striper uten rutenett"/>
    <w:basedOn w:val="TableNormal"/>
    <w:uiPriority w:val="99"/>
    <w:rsid w:val="009274C8"/>
    <w:tblPr>
      <w:tblStyleColBandSize w:val="1"/>
    </w:tblPr>
    <w:tblStylePr w:type="firstRow">
      <w:rPr>
        <w:rFonts w:asciiTheme="minorHAnsi" w:hAnsiTheme="minorHAnsi"/>
        <w:b/>
        <w:sz w:val="22"/>
      </w:rPr>
      <w:tblPr/>
      <w:tcPr>
        <w:shd w:val="clear" w:color="auto" w:fill="003366"/>
      </w:tcPr>
    </w:tblStylePr>
    <w:tblStylePr w:type="band1Vert">
      <w:tblPr/>
      <w:tcPr>
        <w:shd w:val="clear" w:color="auto" w:fill="DF9B1B"/>
      </w:tcPr>
    </w:tblStylePr>
  </w:style>
  <w:style w:type="table" w:customStyle="1" w:styleId="Tabellrutenett1">
    <w:name w:val="Tabellrutenett1"/>
    <w:basedOn w:val="TableNormal"/>
    <w:next w:val="TableGrid"/>
    <w:uiPriority w:val="59"/>
    <w:rsid w:val="00EC3F9A"/>
    <w:tblPr>
      <w:tblCellMar>
        <w:left w:w="0" w:type="dxa"/>
        <w:right w:w="0" w:type="dxa"/>
      </w:tblCellMar>
    </w:tblPr>
  </w:style>
  <w:style w:type="paragraph" w:styleId="Header">
    <w:name w:val="header"/>
    <w:basedOn w:val="Normal"/>
    <w:link w:val="HeaderChar"/>
    <w:unhideWhenUsed/>
    <w:rsid w:val="00EC3F9A"/>
    <w:pPr>
      <w:tabs>
        <w:tab w:val="center" w:pos="4536"/>
        <w:tab w:val="right" w:pos="9072"/>
      </w:tabs>
    </w:pPr>
  </w:style>
  <w:style w:type="character" w:customStyle="1" w:styleId="HeaderChar">
    <w:name w:val="Header Char"/>
    <w:basedOn w:val="DefaultParagraphFont"/>
    <w:link w:val="Header"/>
    <w:uiPriority w:val="99"/>
    <w:rsid w:val="00EC3F9A"/>
  </w:style>
  <w:style w:type="paragraph" w:styleId="Footer">
    <w:name w:val="footer"/>
    <w:basedOn w:val="Normal"/>
    <w:link w:val="FooterChar"/>
    <w:uiPriority w:val="99"/>
    <w:unhideWhenUsed/>
    <w:rsid w:val="00EC3F9A"/>
    <w:pPr>
      <w:tabs>
        <w:tab w:val="center" w:pos="4536"/>
        <w:tab w:val="right" w:pos="9072"/>
      </w:tabs>
    </w:pPr>
  </w:style>
  <w:style w:type="character" w:customStyle="1" w:styleId="FooterChar">
    <w:name w:val="Footer Char"/>
    <w:basedOn w:val="DefaultParagraphFont"/>
    <w:link w:val="Footer"/>
    <w:uiPriority w:val="99"/>
    <w:rsid w:val="00EC3F9A"/>
  </w:style>
  <w:style w:type="paragraph" w:styleId="Title">
    <w:name w:val="Title"/>
    <w:basedOn w:val="Normal"/>
    <w:next w:val="Normal"/>
    <w:link w:val="TitleChar"/>
    <w:uiPriority w:val="10"/>
    <w:qFormat/>
    <w:rsid w:val="00775B70"/>
    <w:pPr>
      <w:spacing w:line="800" w:lineRule="exact"/>
      <w:contextualSpacing/>
    </w:pPr>
    <w:rPr>
      <w:rFonts w:ascii="Calibri" w:eastAsia="Times New Roman" w:hAnsi="Calibri" w:cs="Times New Roman"/>
      <w:b/>
      <w:i/>
      <w:color w:val="1E425C"/>
      <w:spacing w:val="5"/>
      <w:kern w:val="28"/>
      <w:sz w:val="80"/>
      <w:szCs w:val="80"/>
      <w:lang w:val="nn-NO"/>
    </w:rPr>
  </w:style>
  <w:style w:type="character" w:customStyle="1" w:styleId="TitleChar">
    <w:name w:val="Title Char"/>
    <w:basedOn w:val="DefaultParagraphFont"/>
    <w:link w:val="Title"/>
    <w:uiPriority w:val="10"/>
    <w:rsid w:val="00775B70"/>
    <w:rPr>
      <w:rFonts w:ascii="Calibri" w:eastAsia="Times New Roman" w:hAnsi="Calibri" w:cs="Times New Roman"/>
      <w:b/>
      <w:i/>
      <w:color w:val="1E425C"/>
      <w:spacing w:val="5"/>
      <w:kern w:val="28"/>
      <w:sz w:val="80"/>
      <w:szCs w:val="80"/>
      <w:lang w:val="nn-NO"/>
    </w:rPr>
  </w:style>
  <w:style w:type="character" w:styleId="PlaceholderText">
    <w:name w:val="Placeholder Text"/>
    <w:basedOn w:val="DefaultParagraphFont"/>
    <w:uiPriority w:val="99"/>
    <w:semiHidden/>
    <w:rsid w:val="0090231C"/>
    <w:rPr>
      <w:color w:val="808080"/>
    </w:rPr>
  </w:style>
  <w:style w:type="paragraph" w:customStyle="1" w:styleId="test">
    <w:name w:val="test"/>
    <w:basedOn w:val="Normal"/>
    <w:rsid w:val="0090231C"/>
    <w:pPr>
      <w:spacing w:after="200" w:line="276" w:lineRule="auto"/>
    </w:pPr>
    <w:rPr>
      <w:rFonts w:ascii="Calibri" w:eastAsia="Times New Roman" w:hAnsi="Calibri" w:cs="Times New Roman"/>
      <w:szCs w:val="20"/>
      <w:lang w:eastAsia="nb-NO"/>
    </w:rPr>
  </w:style>
  <w:style w:type="paragraph" w:styleId="BodyText">
    <w:name w:val="Body Text"/>
    <w:basedOn w:val="Normal"/>
    <w:link w:val="BodyTextChar"/>
    <w:rsid w:val="0090231C"/>
    <w:pPr>
      <w:spacing w:after="120" w:line="276" w:lineRule="auto"/>
    </w:pPr>
    <w:rPr>
      <w:rFonts w:ascii="Calibri" w:eastAsia="Times New Roman" w:hAnsi="Calibri" w:cs="Times New Roman"/>
      <w:szCs w:val="20"/>
      <w:lang w:eastAsia="nb-NO"/>
    </w:rPr>
  </w:style>
  <w:style w:type="character" w:customStyle="1" w:styleId="BodyTextChar">
    <w:name w:val="Body Text Char"/>
    <w:basedOn w:val="DefaultParagraphFont"/>
    <w:link w:val="BodyText"/>
    <w:rsid w:val="0090231C"/>
    <w:rPr>
      <w:rFonts w:ascii="Calibri" w:eastAsia="Times New Roman" w:hAnsi="Calibri" w:cs="Times New Roman"/>
      <w:szCs w:val="20"/>
      <w:lang w:eastAsia="nb-NO"/>
    </w:rPr>
  </w:style>
  <w:style w:type="character" w:customStyle="1" w:styleId="CommentTextChar">
    <w:name w:val="Comment Text Char"/>
    <w:basedOn w:val="DefaultParagraphFont"/>
    <w:link w:val="CommentText"/>
    <w:semiHidden/>
    <w:rsid w:val="0090231C"/>
    <w:rPr>
      <w:rFonts w:ascii="Calibri" w:eastAsia="Times New Roman" w:hAnsi="Calibri" w:cs="Times New Roman"/>
      <w:szCs w:val="20"/>
      <w:lang w:eastAsia="nb-NO"/>
    </w:rPr>
  </w:style>
  <w:style w:type="paragraph" w:styleId="CommentText">
    <w:name w:val="annotation text"/>
    <w:basedOn w:val="Normal"/>
    <w:link w:val="CommentTextChar"/>
    <w:semiHidden/>
    <w:rsid w:val="0090231C"/>
    <w:pPr>
      <w:spacing w:after="200" w:line="276" w:lineRule="auto"/>
    </w:pPr>
    <w:rPr>
      <w:rFonts w:ascii="Calibri" w:eastAsia="Times New Roman" w:hAnsi="Calibri" w:cs="Times New Roman"/>
      <w:szCs w:val="20"/>
      <w:lang w:eastAsia="nb-NO"/>
    </w:rPr>
  </w:style>
  <w:style w:type="character" w:customStyle="1" w:styleId="CommentSubjectChar">
    <w:name w:val="Comment Subject Char"/>
    <w:basedOn w:val="CommentTextChar"/>
    <w:link w:val="CommentSubject"/>
    <w:semiHidden/>
    <w:rsid w:val="0090231C"/>
    <w:rPr>
      <w:rFonts w:ascii="Calibri" w:eastAsia="Times New Roman" w:hAnsi="Calibri" w:cs="Times New Roman"/>
      <w:b/>
      <w:bCs/>
      <w:szCs w:val="20"/>
      <w:lang w:eastAsia="nb-NO"/>
    </w:rPr>
  </w:style>
  <w:style w:type="paragraph" w:styleId="CommentSubject">
    <w:name w:val="annotation subject"/>
    <w:basedOn w:val="CommentText"/>
    <w:next w:val="CommentText"/>
    <w:link w:val="CommentSubjectChar"/>
    <w:semiHidden/>
    <w:rsid w:val="0090231C"/>
    <w:rPr>
      <w:b/>
      <w:bCs/>
    </w:rPr>
  </w:style>
  <w:style w:type="character" w:customStyle="1" w:styleId="DocumentMapChar">
    <w:name w:val="Document Map Char"/>
    <w:basedOn w:val="DefaultParagraphFont"/>
    <w:link w:val="DocumentMap"/>
    <w:semiHidden/>
    <w:rsid w:val="0090231C"/>
    <w:rPr>
      <w:rFonts w:ascii="Tahoma" w:eastAsia="Times New Roman" w:hAnsi="Tahoma" w:cs="Tahoma"/>
      <w:szCs w:val="20"/>
      <w:shd w:val="clear" w:color="auto" w:fill="000080"/>
      <w:lang w:eastAsia="nb-NO"/>
    </w:rPr>
  </w:style>
  <w:style w:type="paragraph" w:styleId="DocumentMap">
    <w:name w:val="Document Map"/>
    <w:basedOn w:val="Normal"/>
    <w:link w:val="DocumentMapChar"/>
    <w:semiHidden/>
    <w:rsid w:val="0090231C"/>
    <w:pPr>
      <w:shd w:val="clear" w:color="auto" w:fill="000080"/>
      <w:spacing w:after="200" w:line="276" w:lineRule="auto"/>
    </w:pPr>
    <w:rPr>
      <w:rFonts w:ascii="Tahoma" w:eastAsia="Times New Roman" w:hAnsi="Tahoma" w:cs="Tahoma"/>
      <w:szCs w:val="20"/>
      <w:lang w:eastAsia="nb-NO"/>
    </w:rPr>
  </w:style>
  <w:style w:type="paragraph" w:customStyle="1" w:styleId="nummerinnrykk">
    <w:name w:val="nummerinnrykk"/>
    <w:basedOn w:val="Normal"/>
    <w:autoRedefine/>
    <w:rsid w:val="0090231C"/>
    <w:pPr>
      <w:tabs>
        <w:tab w:val="num" w:pos="360"/>
        <w:tab w:val="num" w:pos="720"/>
      </w:tabs>
      <w:spacing w:after="200" w:line="276" w:lineRule="auto"/>
      <w:ind w:left="720" w:hanging="360"/>
    </w:pPr>
    <w:rPr>
      <w:rFonts w:ascii="Calibri" w:eastAsia="Times New Roman" w:hAnsi="Calibri" w:cs="Times New Roman"/>
      <w:lang w:eastAsia="nb-NO"/>
    </w:rPr>
  </w:style>
  <w:style w:type="paragraph" w:customStyle="1" w:styleId="Blockquote">
    <w:name w:val="Blockquote"/>
    <w:basedOn w:val="Normal"/>
    <w:rsid w:val="0090231C"/>
    <w:pPr>
      <w:spacing w:before="100" w:after="100" w:line="276" w:lineRule="auto"/>
      <w:ind w:left="360" w:right="360"/>
    </w:pPr>
    <w:rPr>
      <w:rFonts w:ascii="Times New Roman" w:eastAsia="Times New Roman" w:hAnsi="Times New Roman" w:cs="Times New Roman"/>
      <w:snapToGrid w:val="0"/>
      <w:sz w:val="24"/>
      <w:szCs w:val="20"/>
      <w:lang w:eastAsia="nb-NO"/>
    </w:rPr>
  </w:style>
  <w:style w:type="paragraph" w:styleId="TOC1">
    <w:name w:val="toc 1"/>
    <w:basedOn w:val="Normal"/>
    <w:next w:val="Normal"/>
    <w:autoRedefine/>
    <w:uiPriority w:val="39"/>
    <w:qFormat/>
    <w:rsid w:val="00385512"/>
    <w:pPr>
      <w:tabs>
        <w:tab w:val="left" w:pos="660"/>
        <w:tab w:val="right" w:leader="dot" w:pos="9913"/>
      </w:tabs>
      <w:spacing w:after="200" w:line="276" w:lineRule="auto"/>
    </w:pPr>
    <w:rPr>
      <w:rFonts w:ascii="Verdana" w:eastAsia="Times New Roman" w:hAnsi="Verdana" w:cs="Times New Roman"/>
      <w:b/>
      <w:noProof/>
      <w:sz w:val="18"/>
      <w:szCs w:val="18"/>
      <w:lang w:val="en-US" w:eastAsia="nb-NO"/>
    </w:rPr>
  </w:style>
  <w:style w:type="paragraph" w:customStyle="1" w:styleId="nummerinnrykk2">
    <w:name w:val="nummerinnrykk2"/>
    <w:basedOn w:val="nummerinnrykk"/>
    <w:autoRedefine/>
    <w:rsid w:val="0090231C"/>
    <w:pPr>
      <w:tabs>
        <w:tab w:val="clear" w:pos="720"/>
        <w:tab w:val="num" w:pos="0"/>
      </w:tabs>
      <w:ind w:left="851" w:hanging="851"/>
    </w:pPr>
  </w:style>
  <w:style w:type="paragraph" w:styleId="BodyText2">
    <w:name w:val="Body Text 2"/>
    <w:basedOn w:val="Normal"/>
    <w:link w:val="BodyText2Char"/>
    <w:rsid w:val="0090231C"/>
    <w:pPr>
      <w:spacing w:after="120" w:line="480" w:lineRule="auto"/>
    </w:pPr>
    <w:rPr>
      <w:rFonts w:ascii="Calibri" w:eastAsia="Times New Roman" w:hAnsi="Calibri" w:cs="Times New Roman"/>
      <w:lang w:eastAsia="nb-NO"/>
    </w:rPr>
  </w:style>
  <w:style w:type="character" w:customStyle="1" w:styleId="BodyText2Char">
    <w:name w:val="Body Text 2 Char"/>
    <w:basedOn w:val="DefaultParagraphFont"/>
    <w:link w:val="BodyText2"/>
    <w:rsid w:val="0090231C"/>
    <w:rPr>
      <w:rFonts w:ascii="Calibri" w:eastAsia="Times New Roman" w:hAnsi="Calibri" w:cs="Times New Roman"/>
      <w:lang w:eastAsia="nb-NO"/>
    </w:rPr>
  </w:style>
  <w:style w:type="character" w:styleId="PageNumber">
    <w:name w:val="page number"/>
    <w:basedOn w:val="DefaultParagraphFont"/>
    <w:rsid w:val="0090231C"/>
  </w:style>
  <w:style w:type="paragraph" w:styleId="FootnoteText">
    <w:name w:val="footnote text"/>
    <w:basedOn w:val="Normal"/>
    <w:link w:val="FootnoteTextChar"/>
    <w:uiPriority w:val="99"/>
    <w:rsid w:val="0090231C"/>
    <w:pPr>
      <w:spacing w:after="200" w:line="276" w:lineRule="auto"/>
    </w:pPr>
    <w:rPr>
      <w:rFonts w:ascii="Calibri" w:eastAsia="Times New Roman" w:hAnsi="Calibri" w:cs="Times New Roman"/>
      <w:szCs w:val="20"/>
      <w:lang w:eastAsia="nb-NO"/>
    </w:rPr>
  </w:style>
  <w:style w:type="character" w:customStyle="1" w:styleId="FootnoteTextChar">
    <w:name w:val="Footnote Text Char"/>
    <w:basedOn w:val="DefaultParagraphFont"/>
    <w:link w:val="FootnoteText"/>
    <w:uiPriority w:val="99"/>
    <w:rsid w:val="0090231C"/>
    <w:rPr>
      <w:rFonts w:ascii="Calibri" w:eastAsia="Times New Roman" w:hAnsi="Calibri" w:cs="Times New Roman"/>
      <w:szCs w:val="20"/>
      <w:lang w:eastAsia="nb-NO"/>
    </w:rPr>
  </w:style>
  <w:style w:type="character" w:styleId="FootnoteReference">
    <w:name w:val="footnote reference"/>
    <w:basedOn w:val="DefaultParagraphFont"/>
    <w:uiPriority w:val="99"/>
    <w:rsid w:val="0090231C"/>
    <w:rPr>
      <w:vertAlign w:val="superscript"/>
    </w:rPr>
  </w:style>
  <w:style w:type="paragraph" w:customStyle="1" w:styleId="StilOverskrift1Etter12pt">
    <w:name w:val="Stil Overskrift 1 + Etter:  12 pt"/>
    <w:basedOn w:val="Heading1"/>
    <w:rsid w:val="0090231C"/>
    <w:pPr>
      <w:numPr>
        <w:numId w:val="0"/>
      </w:numPr>
      <w:tabs>
        <w:tab w:val="num" w:pos="0"/>
      </w:tabs>
    </w:pPr>
  </w:style>
  <w:style w:type="paragraph" w:customStyle="1" w:styleId="StilOverskrift2Etter12pt">
    <w:name w:val="Stil Overskrift 2 + Etter:  12 pt"/>
    <w:basedOn w:val="Heading2"/>
    <w:rsid w:val="0090231C"/>
    <w:pPr>
      <w:numPr>
        <w:ilvl w:val="0"/>
        <w:numId w:val="0"/>
      </w:numPr>
      <w:tabs>
        <w:tab w:val="num" w:pos="0"/>
      </w:tabs>
      <w:ind w:left="567" w:hanging="567"/>
    </w:pPr>
    <w:rPr>
      <w:rFonts w:cs="Times New Roman"/>
      <w:iCs w:val="0"/>
    </w:rPr>
  </w:style>
  <w:style w:type="paragraph" w:customStyle="1" w:styleId="normaltekst2">
    <w:name w:val="normaltekst2"/>
    <w:basedOn w:val="Normal"/>
    <w:rsid w:val="0090231C"/>
    <w:pPr>
      <w:spacing w:after="200" w:line="276" w:lineRule="auto"/>
      <w:ind w:left="1021"/>
    </w:pPr>
    <w:rPr>
      <w:rFonts w:ascii="Calibri" w:eastAsia="Times New Roman" w:hAnsi="Calibri" w:cs="Times New Roman"/>
      <w:szCs w:val="20"/>
      <w:lang w:eastAsia="nb-NO"/>
    </w:rPr>
  </w:style>
  <w:style w:type="character" w:styleId="Hyperlink">
    <w:name w:val="Hyperlink"/>
    <w:basedOn w:val="DefaultParagraphFont"/>
    <w:uiPriority w:val="99"/>
    <w:rsid w:val="0090231C"/>
    <w:rPr>
      <w:color w:val="0000FF"/>
      <w:u w:val="single"/>
    </w:rPr>
  </w:style>
  <w:style w:type="paragraph" w:customStyle="1" w:styleId="Default">
    <w:name w:val="Default"/>
    <w:rsid w:val="0090231C"/>
    <w:pPr>
      <w:autoSpaceDE w:val="0"/>
      <w:autoSpaceDN w:val="0"/>
      <w:adjustRightInd w:val="0"/>
    </w:pPr>
    <w:rPr>
      <w:rFonts w:ascii="Verdana" w:eastAsia="Times New Roman" w:hAnsi="Verdana" w:cs="Verdana"/>
      <w:color w:val="000000"/>
      <w:sz w:val="24"/>
      <w:szCs w:val="24"/>
      <w:lang w:eastAsia="nb-NO"/>
    </w:rPr>
  </w:style>
  <w:style w:type="paragraph" w:styleId="ListParagraph">
    <w:name w:val="List Paragraph"/>
    <w:basedOn w:val="Normal"/>
    <w:link w:val="ListParagraphChar"/>
    <w:uiPriority w:val="34"/>
    <w:qFormat/>
    <w:rsid w:val="0090231C"/>
    <w:pPr>
      <w:spacing w:after="200" w:line="276" w:lineRule="auto"/>
      <w:ind w:left="708"/>
    </w:pPr>
    <w:rPr>
      <w:rFonts w:ascii="Calibri" w:eastAsia="Times New Roman" w:hAnsi="Calibri" w:cs="Times New Roman"/>
      <w:lang w:eastAsia="nb-NO"/>
    </w:rPr>
  </w:style>
  <w:style w:type="character" w:styleId="FollowedHyperlink">
    <w:name w:val="FollowedHyperlink"/>
    <w:basedOn w:val="DefaultParagraphFont"/>
    <w:rsid w:val="0090231C"/>
    <w:rPr>
      <w:color w:val="800080"/>
      <w:u w:val="single"/>
    </w:rPr>
  </w:style>
  <w:style w:type="paragraph" w:styleId="TOCHeading">
    <w:name w:val="TOC Heading"/>
    <w:basedOn w:val="Heading1"/>
    <w:next w:val="Normal"/>
    <w:uiPriority w:val="39"/>
    <w:unhideWhenUsed/>
    <w:qFormat/>
    <w:rsid w:val="0090231C"/>
    <w:pPr>
      <w:keepLines/>
      <w:numPr>
        <w:numId w:val="0"/>
      </w:numPr>
      <w:spacing w:before="480" w:after="0"/>
      <w:outlineLvl w:val="9"/>
    </w:pPr>
    <w:rPr>
      <w:rFonts w:ascii="Cambria" w:hAnsi="Cambria"/>
      <w:color w:val="365F91"/>
      <w:sz w:val="28"/>
      <w:szCs w:val="28"/>
      <w:lang w:eastAsia="en-US"/>
    </w:rPr>
  </w:style>
  <w:style w:type="paragraph" w:styleId="TOC2">
    <w:name w:val="toc 2"/>
    <w:basedOn w:val="Normal"/>
    <w:next w:val="Normal"/>
    <w:autoRedefine/>
    <w:uiPriority w:val="39"/>
    <w:qFormat/>
    <w:rsid w:val="0090231C"/>
    <w:pPr>
      <w:tabs>
        <w:tab w:val="left" w:pos="880"/>
        <w:tab w:val="right" w:leader="dot" w:pos="9913"/>
      </w:tabs>
      <w:spacing w:after="200" w:line="276" w:lineRule="auto"/>
      <w:ind w:left="220"/>
    </w:pPr>
    <w:rPr>
      <w:rFonts w:ascii="Verdana" w:eastAsia="Times New Roman" w:hAnsi="Verdana" w:cs="Times New Roman"/>
      <w:b/>
      <w:noProof/>
      <w:sz w:val="18"/>
      <w:szCs w:val="18"/>
      <w:lang w:val="en-US" w:eastAsia="nb-NO"/>
    </w:rPr>
  </w:style>
  <w:style w:type="paragraph" w:styleId="TOC3">
    <w:name w:val="toc 3"/>
    <w:basedOn w:val="Normal"/>
    <w:next w:val="Normal"/>
    <w:autoRedefine/>
    <w:uiPriority w:val="39"/>
    <w:qFormat/>
    <w:rsid w:val="0090231C"/>
    <w:pPr>
      <w:tabs>
        <w:tab w:val="left" w:pos="1320"/>
        <w:tab w:val="right" w:leader="dot" w:pos="9923"/>
      </w:tabs>
      <w:spacing w:after="200" w:line="276" w:lineRule="auto"/>
      <w:ind w:left="440" w:right="141"/>
    </w:pPr>
    <w:rPr>
      <w:rFonts w:ascii="Calibri" w:eastAsia="Times New Roman" w:hAnsi="Calibri" w:cs="Times New Roman"/>
      <w:lang w:eastAsia="nb-NO"/>
    </w:rPr>
  </w:style>
  <w:style w:type="character" w:customStyle="1" w:styleId="hps">
    <w:name w:val="hps"/>
    <w:basedOn w:val="DefaultParagraphFont"/>
    <w:rsid w:val="006F1229"/>
  </w:style>
  <w:style w:type="character" w:styleId="CommentReference">
    <w:name w:val="annotation reference"/>
    <w:basedOn w:val="DefaultParagraphFont"/>
    <w:semiHidden/>
    <w:unhideWhenUsed/>
    <w:rsid w:val="000D563A"/>
    <w:rPr>
      <w:sz w:val="16"/>
      <w:szCs w:val="16"/>
    </w:rPr>
  </w:style>
  <w:style w:type="paragraph" w:customStyle="1" w:styleId="Normaltekst3">
    <w:name w:val="Normaltekst3"/>
    <w:basedOn w:val="Normal"/>
    <w:rsid w:val="00927E12"/>
    <w:rPr>
      <w:rFonts w:ascii="Verdana" w:eastAsia="Times New Roman" w:hAnsi="Verdana" w:cs="Times New Roman"/>
      <w:sz w:val="20"/>
      <w:szCs w:val="24"/>
      <w:lang w:eastAsia="nb-NO"/>
    </w:rPr>
  </w:style>
  <w:style w:type="paragraph" w:styleId="Revision">
    <w:name w:val="Revision"/>
    <w:hidden/>
    <w:uiPriority w:val="99"/>
    <w:semiHidden/>
    <w:rsid w:val="00AC422A"/>
  </w:style>
  <w:style w:type="paragraph" w:customStyle="1" w:styleId="Nummerinnrykk4">
    <w:name w:val="Nummerinnrykk4"/>
    <w:basedOn w:val="Normal"/>
    <w:autoRedefine/>
    <w:rsid w:val="00922DE9"/>
    <w:pPr>
      <w:numPr>
        <w:numId w:val="2"/>
      </w:numPr>
      <w:spacing w:after="120"/>
    </w:pPr>
    <w:rPr>
      <w:rFonts w:eastAsia="Times New Roman" w:cs="Times New Roman"/>
      <w:lang w:eastAsia="nb-NO"/>
    </w:rPr>
  </w:style>
  <w:style w:type="paragraph" w:styleId="NoSpacing">
    <w:name w:val="No Spacing"/>
    <w:uiPriority w:val="1"/>
    <w:qFormat/>
    <w:rsid w:val="00F66EA6"/>
    <w:rPr>
      <w:rFonts w:ascii="Verdana" w:eastAsia="Times New Roman" w:hAnsi="Verdana" w:cs="Times New Roman"/>
      <w:sz w:val="20"/>
      <w:szCs w:val="24"/>
      <w:lang w:eastAsia="nb-NO"/>
    </w:rPr>
  </w:style>
  <w:style w:type="character" w:customStyle="1" w:styleId="ListParagraphChar">
    <w:name w:val="List Paragraph Char"/>
    <w:link w:val="ListParagraph"/>
    <w:uiPriority w:val="34"/>
    <w:rsid w:val="0002001C"/>
    <w:rPr>
      <w:rFonts w:ascii="Calibri" w:eastAsia="Times New Roman" w:hAnsi="Calibri" w:cs="Times New Roman"/>
      <w:lang w:eastAsia="nb-NO"/>
    </w:rPr>
  </w:style>
  <w:style w:type="character" w:styleId="UnresolvedMention">
    <w:name w:val="Unresolved Mention"/>
    <w:basedOn w:val="DefaultParagraphFont"/>
    <w:uiPriority w:val="99"/>
    <w:semiHidden/>
    <w:unhideWhenUsed/>
    <w:rsid w:val="00CF2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223">
      <w:bodyDiv w:val="1"/>
      <w:marLeft w:val="0"/>
      <w:marRight w:val="0"/>
      <w:marTop w:val="0"/>
      <w:marBottom w:val="0"/>
      <w:divBdr>
        <w:top w:val="none" w:sz="0" w:space="0" w:color="auto"/>
        <w:left w:val="none" w:sz="0" w:space="0" w:color="auto"/>
        <w:bottom w:val="none" w:sz="0" w:space="0" w:color="auto"/>
        <w:right w:val="none" w:sz="0" w:space="0" w:color="auto"/>
      </w:divBdr>
    </w:div>
    <w:div w:id="246118069">
      <w:bodyDiv w:val="1"/>
      <w:marLeft w:val="0"/>
      <w:marRight w:val="0"/>
      <w:marTop w:val="0"/>
      <w:marBottom w:val="0"/>
      <w:divBdr>
        <w:top w:val="none" w:sz="0" w:space="0" w:color="auto"/>
        <w:left w:val="none" w:sz="0" w:space="0" w:color="auto"/>
        <w:bottom w:val="none" w:sz="0" w:space="0" w:color="auto"/>
        <w:right w:val="none" w:sz="0" w:space="0" w:color="auto"/>
      </w:divBdr>
    </w:div>
    <w:div w:id="317728195">
      <w:bodyDiv w:val="1"/>
      <w:marLeft w:val="0"/>
      <w:marRight w:val="0"/>
      <w:marTop w:val="0"/>
      <w:marBottom w:val="0"/>
      <w:divBdr>
        <w:top w:val="none" w:sz="0" w:space="0" w:color="auto"/>
        <w:left w:val="none" w:sz="0" w:space="0" w:color="auto"/>
        <w:bottom w:val="none" w:sz="0" w:space="0" w:color="auto"/>
        <w:right w:val="none" w:sz="0" w:space="0" w:color="auto"/>
      </w:divBdr>
    </w:div>
    <w:div w:id="547381374">
      <w:bodyDiv w:val="1"/>
      <w:marLeft w:val="0"/>
      <w:marRight w:val="0"/>
      <w:marTop w:val="0"/>
      <w:marBottom w:val="0"/>
      <w:divBdr>
        <w:top w:val="none" w:sz="0" w:space="0" w:color="auto"/>
        <w:left w:val="none" w:sz="0" w:space="0" w:color="auto"/>
        <w:bottom w:val="none" w:sz="0" w:space="0" w:color="auto"/>
        <w:right w:val="none" w:sz="0" w:space="0" w:color="auto"/>
      </w:divBdr>
    </w:div>
    <w:div w:id="832262104">
      <w:bodyDiv w:val="1"/>
      <w:marLeft w:val="0"/>
      <w:marRight w:val="0"/>
      <w:marTop w:val="0"/>
      <w:marBottom w:val="0"/>
      <w:divBdr>
        <w:top w:val="none" w:sz="0" w:space="0" w:color="auto"/>
        <w:left w:val="none" w:sz="0" w:space="0" w:color="auto"/>
        <w:bottom w:val="none" w:sz="0" w:space="0" w:color="auto"/>
        <w:right w:val="none" w:sz="0" w:space="0" w:color="auto"/>
      </w:divBdr>
    </w:div>
    <w:div w:id="1214779008">
      <w:bodyDiv w:val="1"/>
      <w:marLeft w:val="0"/>
      <w:marRight w:val="0"/>
      <w:marTop w:val="0"/>
      <w:marBottom w:val="0"/>
      <w:divBdr>
        <w:top w:val="none" w:sz="0" w:space="0" w:color="auto"/>
        <w:left w:val="none" w:sz="0" w:space="0" w:color="auto"/>
        <w:bottom w:val="none" w:sz="0" w:space="0" w:color="auto"/>
        <w:right w:val="none" w:sz="0" w:space="0" w:color="auto"/>
      </w:divBdr>
    </w:div>
    <w:div w:id="1293361495">
      <w:bodyDiv w:val="1"/>
      <w:marLeft w:val="0"/>
      <w:marRight w:val="0"/>
      <w:marTop w:val="0"/>
      <w:marBottom w:val="0"/>
      <w:divBdr>
        <w:top w:val="none" w:sz="0" w:space="0" w:color="auto"/>
        <w:left w:val="none" w:sz="0" w:space="0" w:color="auto"/>
        <w:bottom w:val="none" w:sz="0" w:space="0" w:color="auto"/>
        <w:right w:val="none" w:sz="0" w:space="0" w:color="auto"/>
      </w:divBdr>
    </w:div>
    <w:div w:id="1402488565">
      <w:bodyDiv w:val="1"/>
      <w:marLeft w:val="0"/>
      <w:marRight w:val="0"/>
      <w:marTop w:val="0"/>
      <w:marBottom w:val="0"/>
      <w:divBdr>
        <w:top w:val="none" w:sz="0" w:space="0" w:color="auto"/>
        <w:left w:val="none" w:sz="0" w:space="0" w:color="auto"/>
        <w:bottom w:val="none" w:sz="0" w:space="0" w:color="auto"/>
        <w:right w:val="none" w:sz="0" w:space="0" w:color="auto"/>
      </w:divBdr>
    </w:div>
    <w:div w:id="1557546583">
      <w:bodyDiv w:val="1"/>
      <w:marLeft w:val="0"/>
      <w:marRight w:val="0"/>
      <w:marTop w:val="0"/>
      <w:marBottom w:val="0"/>
      <w:divBdr>
        <w:top w:val="none" w:sz="0" w:space="0" w:color="auto"/>
        <w:left w:val="none" w:sz="0" w:space="0" w:color="auto"/>
        <w:bottom w:val="none" w:sz="0" w:space="0" w:color="auto"/>
        <w:right w:val="none" w:sz="0" w:space="0" w:color="auto"/>
      </w:divBdr>
    </w:div>
    <w:div w:id="1772237749">
      <w:bodyDiv w:val="1"/>
      <w:marLeft w:val="0"/>
      <w:marRight w:val="0"/>
      <w:marTop w:val="0"/>
      <w:marBottom w:val="0"/>
      <w:divBdr>
        <w:top w:val="none" w:sz="0" w:space="0" w:color="auto"/>
        <w:left w:val="none" w:sz="0" w:space="0" w:color="auto"/>
        <w:bottom w:val="none" w:sz="0" w:space="0" w:color="auto"/>
        <w:right w:val="none" w:sz="0" w:space="0" w:color="auto"/>
      </w:divBdr>
    </w:div>
    <w:div w:id="1984653753">
      <w:bodyDiv w:val="1"/>
      <w:marLeft w:val="0"/>
      <w:marRight w:val="0"/>
      <w:marTop w:val="0"/>
      <w:marBottom w:val="0"/>
      <w:divBdr>
        <w:top w:val="none" w:sz="0" w:space="0" w:color="auto"/>
        <w:left w:val="none" w:sz="0" w:space="0" w:color="auto"/>
        <w:bottom w:val="none" w:sz="0" w:space="0" w:color="auto"/>
        <w:right w:val="none" w:sz="0" w:space="0" w:color="auto"/>
      </w:divBdr>
    </w:div>
    <w:div w:id="2010282058">
      <w:bodyDiv w:val="1"/>
      <w:marLeft w:val="0"/>
      <w:marRight w:val="0"/>
      <w:marTop w:val="0"/>
      <w:marBottom w:val="0"/>
      <w:divBdr>
        <w:top w:val="none" w:sz="0" w:space="0" w:color="auto"/>
        <w:left w:val="none" w:sz="0" w:space="0" w:color="auto"/>
        <w:bottom w:val="none" w:sz="0" w:space="0" w:color="auto"/>
        <w:right w:val="none" w:sz="0" w:space="0" w:color="auto"/>
      </w:divBdr>
    </w:div>
    <w:div w:id="20329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onext.com/en/regulation/mtfs-operated-euronex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next.com/en/media/6352/downlo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slo Børs">
  <a:themeElements>
    <a:clrScheme name="Oslo Børs">
      <a:dk1>
        <a:sysClr val="windowText" lastClr="000000"/>
      </a:dk1>
      <a:lt1>
        <a:sysClr val="window" lastClr="FFFFFF"/>
      </a:lt1>
      <a:dk2>
        <a:srgbClr val="003366"/>
      </a:dk2>
      <a:lt2>
        <a:srgbClr val="CDCCBF"/>
      </a:lt2>
      <a:accent1>
        <a:srgbClr val="003366"/>
      </a:accent1>
      <a:accent2>
        <a:srgbClr val="BAA966"/>
      </a:accent2>
      <a:accent3>
        <a:srgbClr val="6699CC"/>
      </a:accent3>
      <a:accent4>
        <a:srgbClr val="DF9B1B"/>
      </a:accent4>
      <a:accent5>
        <a:srgbClr val="902833"/>
      </a:accent5>
      <a:accent6>
        <a:srgbClr val="9BBFE7"/>
      </a:accent6>
      <a:hlink>
        <a:srgbClr val="55738F"/>
      </a:hlink>
      <a:folHlink>
        <a:srgbClr val="829CB4"/>
      </a:folHlink>
    </a:clrScheme>
    <a:fontScheme name="Oslo Børs PowerPoi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4" ma:contentTypeDescription="Create a new document." ma:contentTypeScope="" ma:versionID="c96705692b49861381b4f971bf794d61">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9d434e72718df54df3484820e30c25a5"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76904-ca03-4d86-829a-42c0191bd825">
      <Terms xmlns="http://schemas.microsoft.com/office/infopath/2007/PartnerControls"/>
    </lcf76f155ced4ddcb4097134ff3c332f>
    <TaxCatchAll xmlns="ade45116-747a-4090-a113-950f4e8274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CE571-9E15-4A33-A491-B9F2AE981265}">
  <ds:schemaRefs>
    <ds:schemaRef ds:uri="http://schemas.openxmlformats.org/officeDocument/2006/bibliography"/>
  </ds:schemaRefs>
</ds:datastoreItem>
</file>

<file path=customXml/itemProps2.xml><?xml version="1.0" encoding="utf-8"?>
<ds:datastoreItem xmlns:ds="http://schemas.openxmlformats.org/officeDocument/2006/customXml" ds:itemID="{51475AAC-74A3-4857-AF77-8044C04BB602}"/>
</file>

<file path=customXml/itemProps3.xml><?xml version="1.0" encoding="utf-8"?>
<ds:datastoreItem xmlns:ds="http://schemas.openxmlformats.org/officeDocument/2006/customXml" ds:itemID="{D6E7A368-EB3C-42ED-97E0-E2CAEDAE28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F2CE69-1327-46EF-996C-E72C6026E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8377</Words>
  <Characters>44399</Characters>
  <Application>Microsoft Office Word</Application>
  <DocSecurity>4</DocSecurity>
  <Lines>369</Lines>
  <Paragraphs>105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Oslo Børs</Company>
  <LinksUpToDate>false</LinksUpToDate>
  <CharactersWithSpaces>52671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Isebakke Lyse</dc:creator>
  <cp:lastModifiedBy>Anja Fanebust</cp:lastModifiedBy>
  <cp:revision>2</cp:revision>
  <cp:lastPrinted>2020-09-18T09:40:00Z</cp:lastPrinted>
  <dcterms:created xsi:type="dcterms:W3CDTF">2023-02-07T12:51:00Z</dcterms:created>
  <dcterms:modified xsi:type="dcterms:W3CDTF">2023-02-07T12:51:00Z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0x010100C2F155D23BC14C46A001411B34FB3974</vt:lpwstr>
  </property>
  <property fmtid="{D5CDD505-2E9C-101B-9397-08002B2CF9AE}" pid="3" name="MSIP_Label_53e3acdc-8545-4fe6-9665-5ccd769dd7bb_Enabled">
    <vt:lpwstr>true</vt:lpwstr>
  </property>
  <property fmtid="{D5CDD505-2E9C-101B-9397-08002B2CF9AE}" pid="4" name="MSIP_Label_53e3acdc-8545-4fe6-9665-5ccd769dd7bb_SetDate">
    <vt:lpwstr>2022-04-05T10:36:08Z</vt:lpwstr>
  </property>
  <property fmtid="{D5CDD505-2E9C-101B-9397-08002B2CF9AE}" pid="5" name="MSIP_Label_53e3acdc-8545-4fe6-9665-5ccd769dd7bb_Method">
    <vt:lpwstr>Privileged</vt:lpwstr>
  </property>
  <property fmtid="{D5CDD505-2E9C-101B-9397-08002B2CF9AE}" pid="6" name="MSIP_Label_53e3acdc-8545-4fe6-9665-5ccd769dd7bb_Name">
    <vt:lpwstr>53e3acdc-8545-4fe6-9665-5ccd769dd7bb</vt:lpwstr>
  </property>
  <property fmtid="{D5CDD505-2E9C-101B-9397-08002B2CF9AE}" pid="7" name="MSIP_Label_53e3acdc-8545-4fe6-9665-5ccd769dd7bb_SiteId">
    <vt:lpwstr>315b1ee5-c224-498b-871e-c140611d6d07</vt:lpwstr>
  </property>
  <property fmtid="{D5CDD505-2E9C-101B-9397-08002B2CF9AE}" pid="8" name="MSIP_Label_53e3acdc-8545-4fe6-9665-5ccd769dd7bb_ActionId">
    <vt:lpwstr>82de7377-48e2-4a92-bb81-43c883b9ada1</vt:lpwstr>
  </property>
  <property fmtid="{D5CDD505-2E9C-101B-9397-08002B2CF9AE}" pid="9" name="MSIP_Label_53e3acdc-8545-4fe6-9665-5ccd769dd7bb_ContentBits">
    <vt:lpwstr>0</vt:lpwstr>
  </property>
</Properties>
</file>