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E32" w14:textId="77777777" w:rsidR="00DD44DF" w:rsidRDefault="00DD44DF" w:rsidP="00AC7216">
      <w:pPr>
        <w:pStyle w:val="GenericHeading"/>
      </w:pPr>
      <w:r>
        <w:t>General Terms Part II</w:t>
      </w:r>
    </w:p>
    <w:p w14:paraId="5C052C94" w14:textId="77777777" w:rsidR="00DD44DF" w:rsidRDefault="00DD44DF" w:rsidP="00AC7216">
      <w:pPr>
        <w:pStyle w:val="GenericHeading"/>
      </w:pPr>
      <w:r>
        <w:t>Connection Services for Service Providers</w:t>
      </w:r>
    </w:p>
    <w:p w14:paraId="4D8C107E" w14:textId="77777777" w:rsidR="00DD44DF" w:rsidRDefault="00DD44DF" w:rsidP="00AC7216">
      <w:pPr>
        <w:pStyle w:val="BodyText1"/>
        <w:ind w:left="0"/>
        <w:rPr>
          <w:b/>
          <w:bCs/>
        </w:rPr>
      </w:pPr>
      <w:r>
        <w:rPr>
          <w:b/>
          <w:bCs/>
        </w:rPr>
        <w:t>1. – Definitions</w:t>
      </w:r>
    </w:p>
    <w:p w14:paraId="11618CBD" w14:textId="01D9DC67" w:rsidR="00DD44DF" w:rsidRDefault="00C32F20" w:rsidP="00AC7216">
      <w:pPr>
        <w:pStyle w:val="BodyText1"/>
        <w:tabs>
          <w:tab w:val="left" w:pos="1890"/>
        </w:tabs>
        <w:ind w:left="0"/>
        <w:jc w:val="left"/>
        <w:rPr>
          <w:lang w:val="en-GB"/>
        </w:rPr>
      </w:pPr>
      <w:r>
        <w:rPr>
          <w:b/>
          <w:bCs/>
          <w:lang w:val="en-GB"/>
        </w:rPr>
        <w:t xml:space="preserve">1.1 </w:t>
      </w:r>
      <w:r w:rsidR="00DD44DF">
        <w:rPr>
          <w:b/>
          <w:bCs/>
          <w:lang w:val="en-GB"/>
        </w:rPr>
        <w:t>Service Providers:</w:t>
      </w:r>
      <w:r w:rsidR="00DD44DF">
        <w:rPr>
          <w:lang w:val="en-GB"/>
        </w:rPr>
        <w:t xml:space="preserve"> shall mean persons to whom one or more issuing company or intermediaries participating in Monte </w:t>
      </w:r>
      <w:proofErr w:type="spellStart"/>
      <w:r w:rsidR="00DD44DF">
        <w:rPr>
          <w:lang w:val="en-GB"/>
        </w:rPr>
        <w:t>Titoli</w:t>
      </w:r>
      <w:proofErr w:type="spellEnd"/>
      <w:r w:rsidR="004B75FC">
        <w:rPr>
          <w:lang w:val="en-GB"/>
        </w:rPr>
        <w:t xml:space="preserve"> (hereinafter also indicated as ‘</w:t>
      </w:r>
      <w:r w:rsidR="009C314A">
        <w:rPr>
          <w:lang w:val="en-GB"/>
        </w:rPr>
        <w:t>Euronext Securities Milan</w:t>
      </w:r>
      <w:r w:rsidR="004B75FC">
        <w:rPr>
          <w:lang w:val="en-GB"/>
        </w:rPr>
        <w:t>’)</w:t>
      </w:r>
      <w:r w:rsidR="00DD44DF">
        <w:rPr>
          <w:lang w:val="en-GB"/>
        </w:rPr>
        <w:t xml:space="preserve"> services may entrust with the management of specific operational functions concerning the participation in </w:t>
      </w:r>
      <w:r w:rsidR="009C314A">
        <w:rPr>
          <w:lang w:val="en-GB"/>
        </w:rPr>
        <w:t>Euronext Securities Milan</w:t>
      </w:r>
      <w:r w:rsidR="00DD44DF">
        <w:rPr>
          <w:lang w:val="en-GB"/>
        </w:rPr>
        <w:t xml:space="preserve"> Notary Services, central maintenance service and related services in accordance to a specific operative mandate to be drafted according to the model provided by </w:t>
      </w:r>
      <w:r w:rsidR="009C314A">
        <w:rPr>
          <w:lang w:val="en-GB"/>
        </w:rPr>
        <w:t>Euronext Securities Milan</w:t>
      </w:r>
      <w:r w:rsidR="00DD44DF">
        <w:rPr>
          <w:lang w:val="en-GB"/>
        </w:rPr>
        <w:t xml:space="preserve">.   </w:t>
      </w:r>
    </w:p>
    <w:p w14:paraId="30C14881" w14:textId="133D5E3A" w:rsidR="00DD44DF" w:rsidRPr="00DD44DF" w:rsidRDefault="00C32F20" w:rsidP="00AC7216">
      <w:pPr>
        <w:pStyle w:val="BodyText1"/>
        <w:tabs>
          <w:tab w:val="left" w:pos="1890"/>
        </w:tabs>
        <w:ind w:left="0"/>
        <w:jc w:val="left"/>
        <w:rPr>
          <w:lang w:val="en-GB"/>
        </w:rPr>
      </w:pPr>
      <w:r>
        <w:rPr>
          <w:b/>
          <w:bCs/>
          <w:lang w:val="en-GB"/>
        </w:rPr>
        <w:t xml:space="preserve">1.2 </w:t>
      </w:r>
      <w:r w:rsidR="00DD44DF">
        <w:rPr>
          <w:b/>
          <w:bCs/>
          <w:lang w:val="en-GB"/>
        </w:rPr>
        <w:t>“A2A Member”:</w:t>
      </w:r>
      <w:r w:rsidR="00DD44DF">
        <w:rPr>
          <w:lang w:val="en-GB"/>
        </w:rPr>
        <w:t xml:space="preserve"> shall mean an entity requesting to </w:t>
      </w:r>
      <w:r w:rsidR="009C314A">
        <w:rPr>
          <w:lang w:val="en-GB"/>
        </w:rPr>
        <w:t>Euronext Securities Milan</w:t>
      </w:r>
      <w:r w:rsidR="00DD44DF">
        <w:rPr>
          <w:lang w:val="en-GB"/>
        </w:rPr>
        <w:t xml:space="preserve"> for enabling a telematic connection to allow a participant to the Service X-TRM and to the Settlement System to submit instructions  within the scope of such services.</w:t>
      </w:r>
    </w:p>
    <w:p w14:paraId="020750B6" w14:textId="77777777" w:rsidR="00DD44DF" w:rsidRDefault="00DD44DF" w:rsidP="00AC7216">
      <w:pPr>
        <w:pStyle w:val="BodyText1"/>
        <w:ind w:left="0"/>
        <w:jc w:val="left"/>
        <w:rPr>
          <w:b/>
        </w:rPr>
      </w:pPr>
      <w:r>
        <w:rPr>
          <w:b/>
        </w:rPr>
        <w:t>2. –MT-X Connection Service</w:t>
      </w:r>
    </w:p>
    <w:p w14:paraId="6DB01368" w14:textId="3082EFFC" w:rsidR="00DD44DF" w:rsidRDefault="00DD44DF" w:rsidP="00AC7216">
      <w:pPr>
        <w:pStyle w:val="BodyText1"/>
        <w:ind w:left="0"/>
        <w:jc w:val="left"/>
        <w:rPr>
          <w:iCs/>
        </w:rPr>
      </w:pPr>
      <w:r>
        <w:rPr>
          <w:b/>
          <w:bCs/>
        </w:rPr>
        <w:t>2.1</w:t>
      </w:r>
      <w:r>
        <w:rPr>
          <w:bCs/>
        </w:rPr>
        <w:t xml:space="preserve"> </w:t>
      </w:r>
      <w:r w:rsidR="009C314A">
        <w:rPr>
          <w:bCs/>
        </w:rPr>
        <w:t>Euronext Securities Milan</w:t>
      </w:r>
      <w:r>
        <w:rPr>
          <w:bCs/>
        </w:rPr>
        <w:t xml:space="preserve"> shall supply to Service Providers the MT-X Connection Service (hereinafter, the Service) which allows to participants to </w:t>
      </w:r>
      <w:r w:rsidR="009C314A">
        <w:rPr>
          <w:bCs/>
        </w:rPr>
        <w:t>Euronext Securities Milan</w:t>
      </w:r>
      <w:r>
        <w:rPr>
          <w:bCs/>
        </w:rPr>
        <w:t xml:space="preserve">’ services to communicate each other according to provisions set out in subsequent clauses. </w:t>
      </w:r>
    </w:p>
    <w:p w14:paraId="16E56CF4" w14:textId="126673A1" w:rsidR="00DD44DF" w:rsidRDefault="00DD44DF" w:rsidP="00AC7216">
      <w:pPr>
        <w:pStyle w:val="BodyText1"/>
        <w:ind w:left="0"/>
        <w:jc w:val="left"/>
        <w:rPr>
          <w:iCs/>
        </w:rPr>
      </w:pPr>
      <w:r>
        <w:rPr>
          <w:b/>
          <w:bCs/>
        </w:rPr>
        <w:t>2.2</w:t>
      </w:r>
      <w:r>
        <w:rPr>
          <w:bCs/>
        </w:rPr>
        <w:t xml:space="preserve"> </w:t>
      </w:r>
      <w:r w:rsidR="009C314A">
        <w:rPr>
          <w:bCs/>
        </w:rPr>
        <w:t>Euronext Securities Milan</w:t>
      </w:r>
      <w:r>
        <w:rPr>
          <w:bCs/>
        </w:rPr>
        <w:t xml:space="preserve"> shall supply the Service and shall be responsible for correctly providing it but shall not be responsible for obligations coming from the mandate between the above mentioned participants and Service Providers. </w:t>
      </w:r>
    </w:p>
    <w:p w14:paraId="7A9193E5" w14:textId="4A569FD0" w:rsidR="00DD44DF" w:rsidRDefault="00DD44DF" w:rsidP="00AC7216">
      <w:pPr>
        <w:pStyle w:val="BodyText1"/>
        <w:ind w:left="0"/>
        <w:jc w:val="left"/>
      </w:pPr>
      <w:r>
        <w:rPr>
          <w:b/>
        </w:rPr>
        <w:t>2.3</w:t>
      </w:r>
      <w:r>
        <w:t xml:space="preserve"> The Service Provider shall authorize </w:t>
      </w:r>
      <w:r w:rsidR="009C314A">
        <w:t>Euronext Securities Milan</w:t>
      </w:r>
      <w:r>
        <w:t xml:space="preserve"> to transmit and receive Centro </w:t>
      </w:r>
      <w:proofErr w:type="spellStart"/>
      <w:r>
        <w:t>Applicativo</w:t>
      </w:r>
      <w:proofErr w:type="spellEnd"/>
      <w:r w:rsidR="00993B89">
        <w:t xml:space="preserve"> of Euronext Securities Milan</w:t>
      </w:r>
      <w:r>
        <w:t xml:space="preserve"> messages through MT-X Connection Service according to Service Manual which Service Provider declares to know and accept.</w:t>
      </w:r>
    </w:p>
    <w:p w14:paraId="3DE3AE6E" w14:textId="6D5B3358" w:rsidR="00DD44DF" w:rsidRDefault="00DD44DF" w:rsidP="00AC7216">
      <w:pPr>
        <w:pStyle w:val="BodyText1"/>
        <w:ind w:left="0"/>
        <w:jc w:val="left"/>
      </w:pPr>
      <w:r>
        <w:rPr>
          <w:b/>
        </w:rPr>
        <w:t>2.4</w:t>
      </w:r>
      <w:r>
        <w:t xml:space="preserve"> The Service Provider shall take care users identification codes (User e password) and digital certificates and shall not communicate or give them to third parties permanently or temporally. In case users identification codes</w:t>
      </w:r>
      <w:r>
        <w:rPr>
          <w:lang w:val="en-GB"/>
        </w:rPr>
        <w:t xml:space="preserve"> are lost or stolen, Service Provider must immediately communicate it to </w:t>
      </w:r>
      <w:r w:rsidR="009C314A">
        <w:rPr>
          <w:lang w:val="en-GB"/>
        </w:rPr>
        <w:t>Euronext Securities Milan</w:t>
      </w:r>
      <w:r>
        <w:rPr>
          <w:lang w:val="en-GB"/>
        </w:rPr>
        <w:t xml:space="preserve">’ Security Office at </w:t>
      </w:r>
      <w:r>
        <w:t xml:space="preserve">n. 0233635 284-351 with confirmation via e-mail to the address indicated by the </w:t>
      </w:r>
      <w:r>
        <w:rPr>
          <w:lang w:val="en-GB"/>
        </w:rPr>
        <w:t xml:space="preserve">Security Office. </w:t>
      </w:r>
    </w:p>
    <w:p w14:paraId="62A77DB6" w14:textId="77777777" w:rsidR="00DD44DF" w:rsidRDefault="00DD44DF" w:rsidP="00AC7216">
      <w:pPr>
        <w:pStyle w:val="BodyText1"/>
        <w:ind w:left="0"/>
        <w:jc w:val="left"/>
      </w:pPr>
      <w:r>
        <w:rPr>
          <w:b/>
        </w:rPr>
        <w:lastRenderedPageBreak/>
        <w:t>2.5</w:t>
      </w:r>
      <w:r>
        <w:t xml:space="preserve"> In case of using HTTPS standards, the Service Provider declares to be duly authorized to the complete and correct communication of personal data of the authorized persons using digital certificates according to privacy law and regulations.</w:t>
      </w:r>
    </w:p>
    <w:p w14:paraId="4E8EA175" w14:textId="77777777" w:rsidR="00DD44DF" w:rsidRDefault="00DD44DF" w:rsidP="00AC7216">
      <w:pPr>
        <w:pStyle w:val="BodyText1"/>
        <w:ind w:left="0"/>
        <w:jc w:val="left"/>
      </w:pPr>
      <w:r>
        <w:rPr>
          <w:b/>
        </w:rPr>
        <w:t>2.6</w:t>
      </w:r>
      <w:r>
        <w:t xml:space="preserve"> The Service Provider shall use digital certificates only for MT-X connection service.</w:t>
      </w:r>
    </w:p>
    <w:p w14:paraId="1297387D" w14:textId="4A2F0DD0" w:rsidR="00DD44DF" w:rsidRDefault="00DD44DF" w:rsidP="00AC7216">
      <w:pPr>
        <w:pStyle w:val="BodyText1"/>
        <w:ind w:left="0"/>
        <w:jc w:val="left"/>
      </w:pPr>
      <w:r>
        <w:rPr>
          <w:b/>
        </w:rPr>
        <w:t>2.8</w:t>
      </w:r>
      <w:r>
        <w:t xml:space="preserve"> The Service Provider shall communicate by email the receiving from </w:t>
      </w:r>
      <w:r w:rsidR="009C314A">
        <w:t>Euronext Securities Milan</w:t>
      </w:r>
      <w:r>
        <w:t xml:space="preserve"> of users identification codes (User e password) or of digital certificates for the connection to MT-X connection service. The live date for users identification codes or digital certificates shall be effective within 3 (three) working days following the email received by </w:t>
      </w:r>
      <w:r w:rsidR="009C314A">
        <w:t>Euronext Securities Milan</w:t>
      </w:r>
      <w:r>
        <w:t xml:space="preserve"> from Service Provider.  </w:t>
      </w:r>
      <w:r w:rsidR="009C314A">
        <w:t>Euronext Securities Milan</w:t>
      </w:r>
      <w:r>
        <w:t xml:space="preserve"> shall communicate the Client the live date by an email.</w:t>
      </w:r>
    </w:p>
    <w:p w14:paraId="4E5EC2B0" w14:textId="77777777" w:rsidR="00DD44DF" w:rsidRDefault="00DD44DF" w:rsidP="00AC7216">
      <w:pPr>
        <w:pStyle w:val="BodyText1"/>
        <w:ind w:left="0"/>
        <w:jc w:val="left"/>
        <w:rPr>
          <w:b/>
        </w:rPr>
      </w:pPr>
      <w:r>
        <w:rPr>
          <w:b/>
        </w:rPr>
        <w:t>3. – MT-A2A Connection Service</w:t>
      </w:r>
    </w:p>
    <w:p w14:paraId="245FCB62" w14:textId="42627CAA" w:rsidR="00DD44DF" w:rsidRDefault="00DD44DF" w:rsidP="00AC7216">
      <w:pPr>
        <w:pStyle w:val="BodyText1"/>
        <w:ind w:left="0"/>
        <w:jc w:val="left"/>
        <w:rPr>
          <w:bCs/>
        </w:rPr>
      </w:pPr>
      <w:r>
        <w:rPr>
          <w:b/>
          <w:bCs/>
        </w:rPr>
        <w:t>3.1</w:t>
      </w:r>
      <w:r>
        <w:rPr>
          <w:bCs/>
        </w:rPr>
        <w:t xml:space="preserve">  </w:t>
      </w:r>
      <w:r w:rsidR="009C314A">
        <w:rPr>
          <w:bCs/>
        </w:rPr>
        <w:t>Euronext Securities Milan</w:t>
      </w:r>
      <w:r>
        <w:rPr>
          <w:bCs/>
        </w:rPr>
        <w:t xml:space="preserve"> shall supply A2A Member with the MT-A2A Connection Service which allows to participants to </w:t>
      </w:r>
      <w:r w:rsidR="009C314A">
        <w:rPr>
          <w:bCs/>
        </w:rPr>
        <w:t>Euronext Securities Milan</w:t>
      </w:r>
      <w:r>
        <w:rPr>
          <w:bCs/>
        </w:rPr>
        <w:t xml:space="preserve">’ services to communicate each other according to provisions set out in subsequent clauses. </w:t>
      </w:r>
    </w:p>
    <w:p w14:paraId="0A0A223B" w14:textId="77777777" w:rsidR="00DD44DF" w:rsidRDefault="00DD44DF" w:rsidP="00AC7216">
      <w:pPr>
        <w:pStyle w:val="BodyText1"/>
        <w:ind w:left="0"/>
        <w:jc w:val="left"/>
        <w:rPr>
          <w:b/>
        </w:rPr>
      </w:pPr>
      <w:r>
        <w:rPr>
          <w:b/>
        </w:rPr>
        <w:t>3.2</w:t>
      </w:r>
      <w:r>
        <w:t xml:space="preserve"> The participation to the MT-A2A Connection requires the participation to the MT-X Connection Service. Taking into account the size of the transactions too, the Client can select by Participation Documentation two different networks  in order to participate to the MT-A2A Service:</w:t>
      </w:r>
    </w:p>
    <w:p w14:paraId="41CFEAAE" w14:textId="77777777" w:rsidR="00DD44DF" w:rsidRDefault="00DD44DF" w:rsidP="00AC7216">
      <w:pPr>
        <w:pStyle w:val="BodyText1"/>
        <w:numPr>
          <w:ilvl w:val="0"/>
          <w:numId w:val="34"/>
        </w:numPr>
        <w:ind w:left="0" w:firstLine="0"/>
        <w:jc w:val="left"/>
        <w:rPr>
          <w:b/>
          <w:lang w:val="it-IT"/>
        </w:rPr>
      </w:pPr>
      <w:r>
        <w:rPr>
          <w:lang w:val="it-IT"/>
        </w:rPr>
        <w:t>access by public network or</w:t>
      </w:r>
    </w:p>
    <w:p w14:paraId="606AE65B" w14:textId="77777777" w:rsidR="00DD44DF" w:rsidRDefault="00DD44DF" w:rsidP="00AC7216">
      <w:pPr>
        <w:pStyle w:val="BodyText1"/>
        <w:numPr>
          <w:ilvl w:val="0"/>
          <w:numId w:val="34"/>
        </w:numPr>
        <w:ind w:left="0" w:firstLine="0"/>
        <w:jc w:val="left"/>
        <w:rPr>
          <w:b/>
          <w:lang w:val="it-IT"/>
        </w:rPr>
      </w:pPr>
      <w:r>
        <w:rPr>
          <w:lang w:val="it-IT"/>
        </w:rPr>
        <w:t xml:space="preserve">access by </w:t>
      </w:r>
      <w:proofErr w:type="spellStart"/>
      <w:r>
        <w:rPr>
          <w:lang w:val="it-IT"/>
        </w:rPr>
        <w:t>dedicated</w:t>
      </w:r>
      <w:proofErr w:type="spellEnd"/>
      <w:r>
        <w:rPr>
          <w:lang w:val="it-IT"/>
        </w:rPr>
        <w:t xml:space="preserve"> network.</w:t>
      </w:r>
    </w:p>
    <w:p w14:paraId="00142667" w14:textId="7F5B781B" w:rsidR="00DD44DF" w:rsidRDefault="00DD44DF" w:rsidP="00AC7216">
      <w:pPr>
        <w:pStyle w:val="BodyText1"/>
        <w:ind w:left="0"/>
        <w:jc w:val="left"/>
      </w:pPr>
      <w:r>
        <w:rPr>
          <w:b/>
        </w:rPr>
        <w:t>3.3</w:t>
      </w:r>
      <w:r>
        <w:t xml:space="preserve">  In order to participate to MT-A2A Connection Service the Client shall successfully test the MT-A2A connection service according to terms and conditions defined by </w:t>
      </w:r>
      <w:r w:rsidR="009C314A">
        <w:t>Euronext Securities Milan</w:t>
      </w:r>
      <w:r>
        <w:t xml:space="preserve">. </w:t>
      </w:r>
    </w:p>
    <w:p w14:paraId="6828B755" w14:textId="0741AF53" w:rsidR="00DD44DF" w:rsidRPr="00DD44DF" w:rsidRDefault="00DD44DF" w:rsidP="00AC7216">
      <w:pPr>
        <w:pStyle w:val="BodyText1"/>
        <w:ind w:left="0"/>
        <w:jc w:val="left"/>
        <w:rPr>
          <w:iCs/>
        </w:rPr>
      </w:pPr>
      <w:r>
        <w:rPr>
          <w:b/>
          <w:bCs/>
        </w:rPr>
        <w:t xml:space="preserve">3.4 </w:t>
      </w:r>
      <w:r w:rsidR="009C314A">
        <w:rPr>
          <w:bCs/>
        </w:rPr>
        <w:t>Euronext Securities Milan</w:t>
      </w:r>
      <w:r>
        <w:rPr>
          <w:bCs/>
        </w:rPr>
        <w:t xml:space="preserve"> shall supply the Service and shall be responsible for correctly providing it but shall not be responsible for obligations coming from the mandate between the above mentioned participants and Service Providers.</w:t>
      </w:r>
    </w:p>
    <w:p w14:paraId="7D0E2A24" w14:textId="77777777" w:rsidR="00DD44DF" w:rsidRDefault="00DD44DF" w:rsidP="00AC7216">
      <w:pPr>
        <w:pStyle w:val="BodyText1"/>
        <w:ind w:left="0"/>
        <w:jc w:val="left"/>
        <w:rPr>
          <w:b/>
          <w:lang w:val="en-GB"/>
        </w:rPr>
      </w:pPr>
      <w:r>
        <w:rPr>
          <w:b/>
          <w:lang w:val="en-GB"/>
        </w:rPr>
        <w:t>3.bis – Telematic Connection SWIFT</w:t>
      </w:r>
    </w:p>
    <w:p w14:paraId="2373A75C" w14:textId="1FEA23F9" w:rsidR="00DD44DF" w:rsidRDefault="00DD44DF" w:rsidP="00AC7216">
      <w:pPr>
        <w:pStyle w:val="BodyText1"/>
        <w:ind w:left="0"/>
        <w:jc w:val="left"/>
        <w:rPr>
          <w:lang w:val="en-GB"/>
        </w:rPr>
      </w:pPr>
      <w:r>
        <w:rPr>
          <w:lang w:val="en-GB"/>
        </w:rPr>
        <w:t xml:space="preserve">3bis.1 </w:t>
      </w:r>
      <w:r w:rsidR="009C314A">
        <w:rPr>
          <w:lang w:val="en-GB"/>
        </w:rPr>
        <w:t>Euronext Securities Milan</w:t>
      </w:r>
      <w:r>
        <w:rPr>
          <w:lang w:val="en-GB"/>
        </w:rPr>
        <w:t xml:space="preserve"> shall enable Service Providers to make use of the telematic connection SWIFT (hereinafter, the Service), which allows the transmission of communications among participants to the services managed by </w:t>
      </w:r>
      <w:r w:rsidR="009C314A">
        <w:rPr>
          <w:lang w:val="en-GB"/>
        </w:rPr>
        <w:t>Euronext Securities Milan</w:t>
      </w:r>
      <w:r>
        <w:rPr>
          <w:lang w:val="en-GB"/>
        </w:rPr>
        <w:t xml:space="preserve"> in accordance with the terms and conditions set out hereinafter.</w:t>
      </w:r>
    </w:p>
    <w:p w14:paraId="26E826B3" w14:textId="740F2B3D" w:rsidR="00DD44DF" w:rsidRDefault="00DD44DF" w:rsidP="00AC7216">
      <w:pPr>
        <w:pStyle w:val="BodyText1"/>
        <w:ind w:left="0"/>
        <w:jc w:val="left"/>
        <w:rPr>
          <w:lang w:val="en-GB"/>
        </w:rPr>
      </w:pPr>
      <w:r>
        <w:rPr>
          <w:lang w:val="en-GB"/>
        </w:rPr>
        <w:lastRenderedPageBreak/>
        <w:t xml:space="preserve">3bis.2 The participation to the telematic connection SWIFT requires the participation, on a continuous basis, by the Service Provider to the accounts Central Maintenance Service in the capacity of Intermediary, and therefore the participation to the CUG </w:t>
      </w:r>
      <w:r w:rsidR="009C314A">
        <w:rPr>
          <w:lang w:val="en-GB"/>
        </w:rPr>
        <w:t>Euronext Securities Milan</w:t>
      </w:r>
      <w:r>
        <w:rPr>
          <w:lang w:val="en-GB"/>
        </w:rPr>
        <w:t xml:space="preserve">  The Service Provider shall also participate into the SWIFT data carrier, in accordance to the terms and manner specified by SWIFT.</w:t>
      </w:r>
    </w:p>
    <w:p w14:paraId="3321764C" w14:textId="218D6AE6" w:rsidR="00DD44DF" w:rsidRDefault="00DD44DF" w:rsidP="00AC7216">
      <w:pPr>
        <w:pStyle w:val="BodyText1"/>
        <w:ind w:left="0"/>
        <w:jc w:val="left"/>
        <w:rPr>
          <w:lang w:val="en-GB"/>
        </w:rPr>
      </w:pPr>
      <w:r>
        <w:rPr>
          <w:lang w:val="en-GB"/>
        </w:rPr>
        <w:t xml:space="preserve">3.3 The Service Provider undertakes to conduct acceptance tests in accordance with the terms and manners set out by </w:t>
      </w:r>
      <w:r w:rsidR="009C314A">
        <w:rPr>
          <w:lang w:val="en-GB"/>
        </w:rPr>
        <w:t>Euronext Securities Milan</w:t>
      </w:r>
      <w:r>
        <w:rPr>
          <w:lang w:val="en-GB"/>
        </w:rPr>
        <w:t xml:space="preserve"> and acknowledges and accepts that the supply is subject to the successful outcome of such tests.</w:t>
      </w:r>
    </w:p>
    <w:p w14:paraId="25C41036" w14:textId="10AEBC1D" w:rsidR="00DD44DF" w:rsidRDefault="00DD44DF" w:rsidP="00AC7216">
      <w:pPr>
        <w:pStyle w:val="BodyText1"/>
        <w:ind w:left="0"/>
        <w:jc w:val="left"/>
        <w:rPr>
          <w:lang w:val="en-GB"/>
        </w:rPr>
      </w:pPr>
      <w:r>
        <w:rPr>
          <w:lang w:val="en-GB"/>
        </w:rPr>
        <w:t xml:space="preserve">3.4 The Client acknowledges and accepts that the obligations of </w:t>
      </w:r>
      <w:r w:rsidR="009C314A">
        <w:rPr>
          <w:lang w:val="en-GB"/>
        </w:rPr>
        <w:t>Euronext Securities Milan</w:t>
      </w:r>
      <w:r>
        <w:rPr>
          <w:lang w:val="en-GB"/>
        </w:rPr>
        <w:t xml:space="preserve"> under this contract consist solely of providing the configurations necessary to the supply of SWIFT net, for the purpose of operating </w:t>
      </w:r>
      <w:r w:rsidR="009C314A">
        <w:rPr>
          <w:lang w:val="en-GB"/>
        </w:rPr>
        <w:t>Euronext Securities Milan</w:t>
      </w:r>
      <w:r>
        <w:rPr>
          <w:lang w:val="en-GB"/>
        </w:rPr>
        <w:t xml:space="preserve"> services; hence, </w:t>
      </w:r>
      <w:r w:rsidR="009C314A">
        <w:rPr>
          <w:lang w:val="en-GB"/>
        </w:rPr>
        <w:t>Euronext Securities Milan</w:t>
      </w:r>
      <w:r>
        <w:rPr>
          <w:lang w:val="en-GB"/>
        </w:rPr>
        <w:t xml:space="preserve"> may be held liable exclusively in connection with such operation, remaining unrelated with respect to the mandate relationships between the above mentioned participants and Service Providers, as well as to the relationships between SWIFT and Service Providers.</w:t>
      </w:r>
    </w:p>
    <w:p w14:paraId="619CF591" w14:textId="54BF6B60" w:rsidR="00DD44DF" w:rsidRPr="00DD44DF" w:rsidRDefault="00DD44DF" w:rsidP="00AC7216">
      <w:pPr>
        <w:pStyle w:val="BodyText1"/>
        <w:ind w:left="0"/>
        <w:jc w:val="left"/>
        <w:rPr>
          <w:lang w:val="en-GB"/>
        </w:rPr>
      </w:pPr>
      <w:r>
        <w:rPr>
          <w:lang w:val="en-GB"/>
        </w:rPr>
        <w:t xml:space="preserve">3.5 The Service Provider undertakes to make </w:t>
      </w:r>
      <w:r w:rsidR="009C314A">
        <w:rPr>
          <w:lang w:val="en-GB"/>
        </w:rPr>
        <w:t>Euronext Securities Milan</w:t>
      </w:r>
      <w:r>
        <w:rPr>
          <w:lang w:val="en-GB"/>
        </w:rPr>
        <w:t xml:space="preserve"> reach, via CLIMP platform, the acceptance of the mandate granted to it by the participants and consequently to provide the necessary configurations,  according to the Service Manual. The Service Provider acknowledges an accepts that the conferment of the quality Service Provider for the SWIFT Net resulting from any new mandate is subject to the acceptance from the Service Provider of such mandates and to the fulfilment of such configurations.</w:t>
      </w:r>
    </w:p>
    <w:p w14:paraId="5D859E81" w14:textId="77777777" w:rsidR="00DD44DF" w:rsidRDefault="00DD44DF" w:rsidP="00AC7216">
      <w:pPr>
        <w:pStyle w:val="BodyText1"/>
        <w:ind w:left="0"/>
        <w:jc w:val="left"/>
        <w:rPr>
          <w:b/>
        </w:rPr>
      </w:pPr>
      <w:r>
        <w:rPr>
          <w:b/>
        </w:rPr>
        <w:t>4. Obligations of the Service Provider</w:t>
      </w:r>
    </w:p>
    <w:p w14:paraId="6A1EAB1B" w14:textId="30F9E4BF" w:rsidR="00DD44DF" w:rsidRDefault="00DD44DF" w:rsidP="00AC7216">
      <w:pPr>
        <w:pStyle w:val="BodyText1"/>
        <w:ind w:left="0"/>
        <w:jc w:val="left"/>
      </w:pPr>
      <w:r>
        <w:rPr>
          <w:b/>
        </w:rPr>
        <w:t>4.1</w:t>
      </w:r>
      <w:r>
        <w:t xml:space="preserve">The Service Provider undertakes to maintain at any time an organizational structure committed to the activities related to the services set forth in paragraph 2, 3 e 3-bis above (hereinafter “Services”) that is appropriate to the amount of activity performed, having appropriate professional qualification and having an operating timetable compatible with the one of the Services, as well as to adopt the technical and infrastructural requirements, specified by </w:t>
      </w:r>
      <w:r w:rsidR="009C314A">
        <w:t>Euronext Securities Milan</w:t>
      </w:r>
      <w:r>
        <w:t xml:space="preserve"> in the </w:t>
      </w:r>
      <w:r>
        <w:rPr>
          <w:lang w:val="en-GB"/>
        </w:rPr>
        <w:t>Service Manual according to the type of activity</w:t>
      </w:r>
      <w:r>
        <w:t xml:space="preserve">. </w:t>
      </w:r>
    </w:p>
    <w:p w14:paraId="35970865" w14:textId="7826DE35" w:rsidR="00DD44DF" w:rsidRDefault="00DD44DF" w:rsidP="00AC7216">
      <w:pPr>
        <w:pStyle w:val="BodyText1"/>
        <w:ind w:left="0"/>
        <w:jc w:val="left"/>
      </w:pPr>
      <w:r>
        <w:rPr>
          <w:b/>
        </w:rPr>
        <w:t>4.2</w:t>
      </w:r>
      <w:r>
        <w:t xml:space="preserve">. The Service Provider undertakes to appoint a contact person for the relationships with </w:t>
      </w:r>
      <w:r w:rsidR="009C314A">
        <w:t>Euronext Securities Milan</w:t>
      </w:r>
      <w:r>
        <w:t xml:space="preserve"> which must be available during the Services operating time and  having knowledge of the rules regulating </w:t>
      </w:r>
      <w:r w:rsidR="009C314A">
        <w:t>Euronext Securities Milan</w:t>
      </w:r>
      <w:r>
        <w:t>’ services. The name of the contact person shall be indicated in the Request for Services.</w:t>
      </w:r>
    </w:p>
    <w:p w14:paraId="7E29DF82" w14:textId="395A24B3" w:rsidR="00DD44DF" w:rsidRDefault="00DD44DF" w:rsidP="00AC7216">
      <w:pPr>
        <w:pStyle w:val="BodyText1"/>
        <w:ind w:left="0"/>
        <w:jc w:val="left"/>
      </w:pPr>
      <w:r>
        <w:rPr>
          <w:b/>
        </w:rPr>
        <w:t>4.3</w:t>
      </w:r>
      <w:r>
        <w:t xml:space="preserve"> The Service Provider declares to have in place technologically advanced IT tools compatible with the Service and a business continuity and disaster recovery plan suitable to grant to </w:t>
      </w:r>
      <w:r w:rsidR="009C314A">
        <w:t>Euronext Securities Milan</w:t>
      </w:r>
      <w:r>
        <w:t>’ participants the confidentiality and integrity of the information maintained and the continuity of the Service.</w:t>
      </w:r>
    </w:p>
    <w:p w14:paraId="27706FBF" w14:textId="038563B8" w:rsidR="00DD44DF" w:rsidRDefault="00DD44DF" w:rsidP="00AC7216">
      <w:pPr>
        <w:pStyle w:val="BodyText1"/>
        <w:ind w:left="0"/>
        <w:jc w:val="left"/>
      </w:pPr>
      <w:r>
        <w:rPr>
          <w:b/>
        </w:rPr>
        <w:lastRenderedPageBreak/>
        <w:t>4.4</w:t>
      </w:r>
      <w:r>
        <w:t xml:space="preserve"> The Service Provider undertakes to allow </w:t>
      </w:r>
      <w:r w:rsidR="009C314A">
        <w:t>Euronext Securities Milan</w:t>
      </w:r>
      <w:r>
        <w:t xml:space="preserve"> or third parties authorized by </w:t>
      </w:r>
      <w:r w:rsidR="009C314A">
        <w:t>Euronext Securities Milan</w:t>
      </w:r>
      <w:r>
        <w:t xml:space="preserve">, to carry out the verification of the compliance of the requirements set forth in this contracts and Service Regulations either at the Service Provider’s or its outsources’ premises. </w:t>
      </w:r>
    </w:p>
    <w:p w14:paraId="1F7BAD0F" w14:textId="0D57EB52" w:rsidR="00DD44DF" w:rsidRDefault="00DD44DF" w:rsidP="00AC7216">
      <w:pPr>
        <w:pStyle w:val="BodyText1"/>
        <w:ind w:left="0"/>
        <w:jc w:val="left"/>
      </w:pPr>
      <w:r>
        <w:rPr>
          <w:b/>
        </w:rPr>
        <w:t>4.5</w:t>
      </w:r>
      <w:r>
        <w:t xml:space="preserve"> The agreement, between the Service Provider and the participant to </w:t>
      </w:r>
      <w:r w:rsidR="009C314A">
        <w:t>Euronext Securities Milan</w:t>
      </w:r>
      <w:r>
        <w:t xml:space="preserve"> on behalf of which it acts, shall also disclose whether the Service Provider in turn avails itself of any third party to perform all or parts of the services it provides to the participant as well as the obligations related to the performing of verification activities in accordance to the previous paragraph 4.4. </w:t>
      </w:r>
    </w:p>
    <w:p w14:paraId="66AAD48A" w14:textId="5832FF7A" w:rsidR="00DD44DF" w:rsidRDefault="00DD44DF" w:rsidP="00AC7216">
      <w:pPr>
        <w:pStyle w:val="BodyText1"/>
        <w:ind w:left="0"/>
        <w:jc w:val="left"/>
      </w:pPr>
      <w:r>
        <w:rPr>
          <w:b/>
        </w:rPr>
        <w:t>4.6</w:t>
      </w:r>
      <w:r>
        <w:t xml:space="preserve"> In case </w:t>
      </w:r>
      <w:r w:rsidR="009C314A">
        <w:t>Euronext Securities Milan</w:t>
      </w:r>
      <w:r>
        <w:t xml:space="preserve"> requires to do so as a consequence of technical problems or of any risk to the ordinary operation of the system or of the services provided by </w:t>
      </w:r>
      <w:r w:rsidR="009C314A">
        <w:t>Euronext Securities Milan</w:t>
      </w:r>
      <w:r>
        <w:t xml:space="preserve">, the Service Provider undertakes, by following any instruction of </w:t>
      </w:r>
      <w:r w:rsidR="009C314A">
        <w:t>Euronext Securities Milan</w:t>
      </w:r>
      <w:r>
        <w:t xml:space="preserve"> in this respect, to suspend the participant’s access to the system without any delay.</w:t>
      </w:r>
    </w:p>
    <w:p w14:paraId="42A8A5E6" w14:textId="61515436" w:rsidR="00DD44DF" w:rsidRDefault="00DD44DF" w:rsidP="00AC7216">
      <w:pPr>
        <w:pStyle w:val="BodyText1"/>
        <w:ind w:left="0"/>
        <w:jc w:val="left"/>
      </w:pPr>
      <w:r>
        <w:rPr>
          <w:b/>
        </w:rPr>
        <w:t>4.7</w:t>
      </w:r>
      <w:r>
        <w:t xml:space="preserve"> the Service Provider acknowledges and accepts that </w:t>
      </w:r>
      <w:r w:rsidR="009C314A">
        <w:t>Euronext Securities Milan</w:t>
      </w:r>
      <w:r>
        <w:t xml:space="preserve"> might retain the right to limit the number of participants that the service provider can connect to the system of </w:t>
      </w:r>
      <w:r w:rsidR="009C314A">
        <w:t>Euronext Securities Milan</w:t>
      </w:r>
      <w:r>
        <w:t xml:space="preserve"> through the services (</w:t>
      </w:r>
      <w:proofErr w:type="spellStart"/>
      <w:r>
        <w:t>i</w:t>
      </w:r>
      <w:proofErr w:type="spellEnd"/>
      <w:r>
        <w:t xml:space="preserve">) in the event of technical problems or risks affecting a significant number of participants connected by the service provider and / or (ii) if the Service Provider is not able to modify its systems to make them compatible the </w:t>
      </w:r>
      <w:r w:rsidR="009C314A">
        <w:t>Euronext Securities Milan</w:t>
      </w:r>
      <w:r>
        <w:t xml:space="preserve"> system as with updated and modified from time to time. To such purpose, the service provider undertakes to promptly identify, upon </w:t>
      </w:r>
      <w:r w:rsidR="009C314A">
        <w:t>Euronext Securities Milan</w:t>
      </w:r>
      <w:r>
        <w:t xml:space="preserve"> request, the participant which should be disconnected. </w:t>
      </w:r>
    </w:p>
    <w:p w14:paraId="7273668B" w14:textId="2FA940CB" w:rsidR="00DD44DF" w:rsidRDefault="00DD44DF" w:rsidP="00AC7216">
      <w:pPr>
        <w:pStyle w:val="BodyText1"/>
        <w:ind w:left="0"/>
        <w:jc w:val="left"/>
      </w:pPr>
      <w:r>
        <w:rPr>
          <w:b/>
        </w:rPr>
        <w:t>4.8</w:t>
      </w:r>
      <w:r>
        <w:t xml:space="preserve"> the Service Provider accepts to be liable for the filing of the relevant sections of the Participation Documentation </w:t>
      </w:r>
      <w:r>
        <w:rPr>
          <w:lang w:val="en-GB"/>
        </w:rPr>
        <w:t xml:space="preserve">in a truthful, complete and accurate way as well as to update promptly such data by informing </w:t>
      </w:r>
      <w:r w:rsidR="009C314A">
        <w:rPr>
          <w:lang w:val="en-GB"/>
        </w:rPr>
        <w:t>Euronext Securities Milan</w:t>
      </w:r>
      <w:r>
        <w:rPr>
          <w:lang w:val="en-GB"/>
        </w:rPr>
        <w:t xml:space="preserve"> of any amendments to such data</w:t>
      </w:r>
      <w:r>
        <w:t>.</w:t>
      </w:r>
    </w:p>
    <w:p w14:paraId="1DDAADB0" w14:textId="1A14A10A" w:rsidR="00FD274C" w:rsidRPr="00DD44DF" w:rsidRDefault="00DD44DF" w:rsidP="00AC7216">
      <w:pPr>
        <w:pStyle w:val="BodyText1"/>
        <w:ind w:left="0"/>
        <w:jc w:val="left"/>
      </w:pPr>
      <w:r>
        <w:t>* * *</w:t>
      </w:r>
    </w:p>
    <w:sectPr w:rsidR="00FD274C" w:rsidRPr="00DD44DF" w:rsidSect="00452FD4">
      <w:headerReference w:type="default" r:id="rId12"/>
      <w:footerReference w:type="even" r:id="rId13"/>
      <w:footerReference w:type="default" r:id="rId14"/>
      <w:headerReference w:type="first" r:id="rId15"/>
      <w:footerReference w:type="first" r:id="rId16"/>
      <w:pgSz w:w="11906" w:h="16838" w:code="9"/>
      <w:pgMar w:top="1985" w:right="1134" w:bottom="1701" w:left="1418" w:header="964" w:footer="1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5744" w14:textId="77777777" w:rsidR="00C16263" w:rsidRDefault="00C16263" w:rsidP="00695086">
      <w:pPr>
        <w:spacing w:after="0" w:line="240" w:lineRule="auto"/>
      </w:pPr>
      <w:r>
        <w:separator/>
      </w:r>
    </w:p>
  </w:endnote>
  <w:endnote w:type="continuationSeparator" w:id="0">
    <w:p w14:paraId="4225ADD1" w14:textId="77777777" w:rsidR="00C16263" w:rsidRDefault="00C16263" w:rsidP="0069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0F4" w14:textId="77777777" w:rsidR="00FD274C" w:rsidRPr="00D772B4" w:rsidRDefault="00920706" w:rsidP="00D772B4">
    <w:pPr>
      <w:pStyle w:val="Footer"/>
      <w:jc w:val="center"/>
    </w:pPr>
    <w:r>
      <w:fldChar w:fldCharType="begin" w:fldLock="1"/>
    </w:r>
    <w:r>
      <w:instrText xml:space="preserve"> DOCPROPERTY bjFooterEvenPageDocProperty \* MERGEFORMAT </w:instrText>
    </w:r>
    <w:r>
      <w:fldChar w:fldCharType="separate"/>
    </w:r>
    <w:r w:rsidR="00D772B4" w:rsidRPr="00D772B4">
      <w:rPr>
        <w:rFonts w:ascii="Calibri" w:hAnsi="Calibri" w:cs="Calibri"/>
        <w:b/>
        <w:color w:val="000000"/>
        <w:sz w:val="28"/>
      </w:rPr>
      <w:t>INTERNAL USE ONLY</w:t>
    </w:r>
    <w:r>
      <w:rPr>
        <w:rFonts w:ascii="Calibri" w:hAnsi="Calibri" w:cs="Calibri"/>
        <w:b/>
        <w:color w:val="000000"/>
        <w:sz w:val="28"/>
      </w:rPr>
      <w:fldChar w:fldCharType="end"/>
    </w:r>
  </w:p>
  <w:p w14:paraId="1EFBA0F4" w14:textId="77777777" w:rsidR="0043487C" w:rsidRDefault="004348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B37D" w14:textId="0B5A47FE" w:rsidR="00695086" w:rsidRPr="00113B01" w:rsidRDefault="00920706" w:rsidP="00113B01">
    <w:pPr>
      <w:pStyle w:val="Footer"/>
      <w:jc w:val="right"/>
      <w:rPr>
        <w:color w:val="646B6E" w:themeColor="background2" w:themeShade="80"/>
        <w:sz w:val="16"/>
        <w:szCs w:val="16"/>
      </w:rPr>
    </w:pPr>
    <w:sdt>
      <w:sdtPr>
        <w:rPr>
          <w:color w:val="646B6E" w:themeColor="background2" w:themeShade="80"/>
          <w:sz w:val="16"/>
          <w:szCs w:val="16"/>
        </w:rPr>
        <w:id w:val="-391274391"/>
        <w:docPartObj>
          <w:docPartGallery w:val="Page Numbers (Bottom of Page)"/>
          <w:docPartUnique/>
        </w:docPartObj>
      </w:sdtPr>
      <w:sdtEndPr/>
      <w:sdtContent>
        <w:sdt>
          <w:sdtPr>
            <w:rPr>
              <w:color w:val="646B6E" w:themeColor="background2" w:themeShade="80"/>
              <w:sz w:val="16"/>
              <w:szCs w:val="16"/>
            </w:rPr>
            <w:id w:val="-1769616900"/>
            <w:docPartObj>
              <w:docPartGallery w:val="Page Numbers (Top of Page)"/>
              <w:docPartUnique/>
            </w:docPartObj>
          </w:sdtPr>
          <w:sdtEndPr/>
          <w:sdtContent>
            <w:r w:rsidR="004E4354" w:rsidRPr="00691539">
              <w:rPr>
                <w:rFonts w:eastAsia="Times New Roman" w:cs="Times New Roman"/>
                <w:b/>
                <w:bCs/>
                <w:color w:val="008D7F"/>
                <w:sz w:val="20"/>
                <w:szCs w:val="20"/>
                <w:lang w:eastAsia="ar-SA"/>
              </w:rPr>
              <w:t>|</w:t>
            </w:r>
            <w:r w:rsidR="004E4354" w:rsidRPr="00691539">
              <w:rPr>
                <w:rFonts w:eastAsia="Times New Roman" w:cs="Times New Roman"/>
                <w:sz w:val="20"/>
                <w:szCs w:val="20"/>
                <w:lang w:eastAsia="ar-SA"/>
              </w:rPr>
              <w:t xml:space="preserve"> </w:t>
            </w:r>
            <w:r w:rsidR="004E4354" w:rsidRPr="00691539">
              <w:rPr>
                <w:rFonts w:eastAsia="Times New Roman" w:cs="Times New Roman"/>
                <w:noProof/>
                <w:sz w:val="20"/>
                <w:szCs w:val="20"/>
                <w:lang w:eastAsia="ar-SA"/>
              </w:rPr>
              <w:fldChar w:fldCharType="begin"/>
            </w:r>
            <w:r w:rsidR="004E4354" w:rsidRPr="00691539">
              <w:rPr>
                <w:rFonts w:eastAsia="Times New Roman" w:cs="Times New Roman"/>
                <w:noProof/>
                <w:sz w:val="20"/>
                <w:szCs w:val="20"/>
                <w:lang w:eastAsia="ar-SA"/>
              </w:rPr>
              <w:instrText xml:space="preserve"> PAGE  \* Arabic  \* MERGEFORMAT </w:instrText>
            </w:r>
            <w:r w:rsidR="004E4354" w:rsidRPr="00691539">
              <w:rPr>
                <w:rFonts w:eastAsia="Times New Roman" w:cs="Times New Roman"/>
                <w:noProof/>
                <w:sz w:val="20"/>
                <w:szCs w:val="20"/>
                <w:lang w:eastAsia="ar-SA"/>
              </w:rPr>
              <w:fldChar w:fldCharType="separate"/>
            </w:r>
            <w:r w:rsidR="004E4354">
              <w:rPr>
                <w:noProof/>
                <w:sz w:val="20"/>
              </w:rPr>
              <w:t>2</w:t>
            </w:r>
            <w:r w:rsidR="004E4354" w:rsidRPr="00691539">
              <w:rPr>
                <w:rFonts w:eastAsia="Times New Roman" w:cs="Times New Roman"/>
                <w:noProof/>
                <w:sz w:val="20"/>
                <w:szCs w:val="20"/>
                <w:lang w:eastAsia="ar-SA"/>
              </w:rPr>
              <w:fldChar w:fldCharType="end"/>
            </w:r>
            <w:r w:rsidR="004E4354" w:rsidRPr="00691539">
              <w:rPr>
                <w:rFonts w:eastAsia="Times New Roman" w:cs="Times New Roman"/>
                <w:noProof/>
                <w:sz w:val="20"/>
                <w:szCs w:val="20"/>
                <w:lang w:eastAsia="ar-SA"/>
              </w:rPr>
              <w:t xml:space="preserve"> of </w:t>
            </w:r>
            <w:r w:rsidR="004E4354" w:rsidRPr="00691539">
              <w:rPr>
                <w:rFonts w:eastAsia="Times New Roman" w:cs="Times New Roman"/>
                <w:noProof/>
                <w:sz w:val="20"/>
                <w:szCs w:val="20"/>
                <w:lang w:eastAsia="ar-SA"/>
              </w:rPr>
              <w:fldChar w:fldCharType="begin"/>
            </w:r>
            <w:r w:rsidR="004E4354" w:rsidRPr="00691539">
              <w:rPr>
                <w:rFonts w:eastAsia="Times New Roman" w:cs="Times New Roman"/>
                <w:noProof/>
                <w:sz w:val="20"/>
                <w:szCs w:val="20"/>
                <w:lang w:eastAsia="ar-SA"/>
              </w:rPr>
              <w:instrText xml:space="preserve"> NUMPAGES  \* Arabic  \* MERGEFORMAT </w:instrText>
            </w:r>
            <w:r w:rsidR="004E4354" w:rsidRPr="00691539">
              <w:rPr>
                <w:rFonts w:eastAsia="Times New Roman" w:cs="Times New Roman"/>
                <w:noProof/>
                <w:sz w:val="20"/>
                <w:szCs w:val="20"/>
                <w:lang w:eastAsia="ar-SA"/>
              </w:rPr>
              <w:fldChar w:fldCharType="separate"/>
            </w:r>
            <w:r w:rsidR="004E4354">
              <w:rPr>
                <w:noProof/>
                <w:sz w:val="20"/>
              </w:rPr>
              <w:t>2</w:t>
            </w:r>
            <w:r w:rsidR="004E4354" w:rsidRPr="00691539">
              <w:rPr>
                <w:rFonts w:eastAsia="Times New Roman" w:cs="Times New Roman"/>
                <w:noProof/>
                <w:sz w:val="20"/>
                <w:szCs w:val="20"/>
                <w:lang w:eastAsia="ar-SA"/>
              </w:rPr>
              <w:fldChar w:fldCharType="end"/>
            </w:r>
          </w:sdtContent>
        </w:sdt>
      </w:sdtContent>
    </w:sdt>
  </w:p>
  <w:p w14:paraId="467C5FBD" w14:textId="77777777" w:rsidR="0043487C" w:rsidRDefault="004348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21E" w14:textId="0168026E" w:rsidR="00695086" w:rsidRDefault="009F6AE9" w:rsidP="00D772B4">
    <w:pPr>
      <w:pStyle w:val="Footer"/>
      <w:jc w:val="center"/>
    </w:pPr>
    <w:r>
      <w:fldChar w:fldCharType="begin" w:fldLock="1"/>
    </w:r>
    <w:r>
      <w:instrText xml:space="preserve"> DOCPROPERTY bjFooterFirstPageDocProperty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E058" w14:textId="77777777" w:rsidR="00C16263" w:rsidRDefault="00C16263" w:rsidP="00695086">
      <w:pPr>
        <w:spacing w:after="0" w:line="240" w:lineRule="auto"/>
      </w:pPr>
      <w:r>
        <w:separator/>
      </w:r>
    </w:p>
  </w:footnote>
  <w:footnote w:type="continuationSeparator" w:id="0">
    <w:p w14:paraId="62594468" w14:textId="77777777" w:rsidR="00C16263" w:rsidRDefault="00C16263" w:rsidP="0069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E028" w14:textId="77777777" w:rsidR="00695086" w:rsidRDefault="00B92C4F">
    <w:pPr>
      <w:pStyle w:val="Header"/>
    </w:pPr>
    <w:r w:rsidRPr="00332613">
      <w:rPr>
        <w:noProof/>
      </w:rPr>
      <w:drawing>
        <wp:inline distT="0" distB="0" distL="0" distR="0" wp14:anchorId="7AEFACA6" wp14:editId="57BF4594">
          <wp:extent cx="2856972" cy="508000"/>
          <wp:effectExtent l="0" t="0" r="635" b="6350"/>
          <wp:docPr id="104" name="Picture 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62362" cy="508958"/>
                  </a:xfrm>
                  <a:prstGeom prst="rect">
                    <a:avLst/>
                  </a:prstGeom>
                </pic:spPr>
              </pic:pic>
            </a:graphicData>
          </a:graphic>
        </wp:inline>
      </w:drawing>
    </w:r>
    <w:r w:rsidR="00055C97" w:rsidRPr="00055C9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CF52" w14:textId="77777777" w:rsidR="0077049A" w:rsidRDefault="009F6AE9">
    <w:pPr>
      <w:pStyle w:val="Header"/>
    </w:pPr>
    <w:r w:rsidRPr="009F6AE9">
      <w:rPr>
        <w:noProof/>
      </w:rPr>
      <w:drawing>
        <wp:inline distT="0" distB="0" distL="0" distR="0" wp14:anchorId="616425FB" wp14:editId="5A12041F">
          <wp:extent cx="2279852" cy="405382"/>
          <wp:effectExtent l="0" t="0" r="6350" b="0"/>
          <wp:docPr id="105" name="Picture 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9852" cy="405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9E05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95E7B"/>
    <w:multiLevelType w:val="hybridMultilevel"/>
    <w:tmpl w:val="B25AA922"/>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08834206"/>
    <w:multiLevelType w:val="multilevel"/>
    <w:tmpl w:val="3B2A3C0A"/>
    <w:styleLink w:val="Headings"/>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BE75F91"/>
    <w:multiLevelType w:val="hybridMultilevel"/>
    <w:tmpl w:val="EC0E6B7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15:restartNumberingAfterBreak="0">
    <w:nsid w:val="141D5978"/>
    <w:multiLevelType w:val="multilevel"/>
    <w:tmpl w:val="AF8C1A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1CB75DC0"/>
    <w:multiLevelType w:val="hybridMultilevel"/>
    <w:tmpl w:val="D4A8C29A"/>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1D5A40D7"/>
    <w:multiLevelType w:val="hybridMultilevel"/>
    <w:tmpl w:val="502632EA"/>
    <w:lvl w:ilvl="0" w:tplc="0809001B">
      <w:start w:val="1"/>
      <w:numFmt w:val="lowerRoman"/>
      <w:lvlText w:val="%1."/>
      <w:lvlJc w:val="right"/>
      <w:pPr>
        <w:ind w:left="1776" w:hanging="360"/>
      </w:p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15:restartNumberingAfterBreak="0">
    <w:nsid w:val="20255C5B"/>
    <w:multiLevelType w:val="hybridMultilevel"/>
    <w:tmpl w:val="8DAA5628"/>
    <w:lvl w:ilvl="0" w:tplc="08090017">
      <w:start w:val="1"/>
      <w:numFmt w:val="lowerLetter"/>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278B280E"/>
    <w:multiLevelType w:val="hybridMultilevel"/>
    <w:tmpl w:val="2E34CCCC"/>
    <w:lvl w:ilvl="0" w:tplc="FD5E9CF6">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7DB3EF7"/>
    <w:multiLevelType w:val="hybridMultilevel"/>
    <w:tmpl w:val="AFC23E3C"/>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15:restartNumberingAfterBreak="0">
    <w:nsid w:val="330B6902"/>
    <w:multiLevelType w:val="hybridMultilevel"/>
    <w:tmpl w:val="3E3E2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4C14C9"/>
    <w:multiLevelType w:val="multilevel"/>
    <w:tmpl w:val="BB8C96B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7B3118D"/>
    <w:multiLevelType w:val="multilevel"/>
    <w:tmpl w:val="47B689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9313A6B"/>
    <w:multiLevelType w:val="hybridMultilevel"/>
    <w:tmpl w:val="D7A8E0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023041"/>
    <w:multiLevelType w:val="multilevel"/>
    <w:tmpl w:val="C57A71C8"/>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47875352"/>
    <w:multiLevelType w:val="hybridMultilevel"/>
    <w:tmpl w:val="59AE0088"/>
    <w:lvl w:ilvl="0" w:tplc="0809001B">
      <w:start w:val="1"/>
      <w:numFmt w:val="lowerRoman"/>
      <w:lvlText w:val="%1."/>
      <w:lvlJc w:val="right"/>
      <w:pPr>
        <w:ind w:left="1530" w:hanging="360"/>
      </w:p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6" w15:restartNumberingAfterBreak="0">
    <w:nsid w:val="5D7354D0"/>
    <w:multiLevelType w:val="multilevel"/>
    <w:tmpl w:val="066C967A"/>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7" w15:restartNumberingAfterBreak="0">
    <w:nsid w:val="5E2C137E"/>
    <w:multiLevelType w:val="hybridMultilevel"/>
    <w:tmpl w:val="AC70EB50"/>
    <w:lvl w:ilvl="0" w:tplc="04100019">
      <w:start w:val="1"/>
      <w:numFmt w:val="lowerLetter"/>
      <w:lvlText w:val="%1."/>
      <w:lvlJc w:val="left"/>
      <w:pPr>
        <w:ind w:left="1170" w:hanging="360"/>
      </w:pPr>
      <w:rPr>
        <w:rFonts w:cs="Times New Roman"/>
      </w:rPr>
    </w:lvl>
    <w:lvl w:ilvl="1" w:tplc="0032E45E">
      <w:start w:val="1"/>
      <w:numFmt w:val="bullet"/>
      <w:lvlText w:val="-"/>
      <w:lvlJc w:val="left"/>
      <w:pPr>
        <w:ind w:left="1890" w:hanging="360"/>
      </w:pPr>
      <w:rPr>
        <w:rFonts w:ascii="Times New Roman" w:eastAsia="Times New Roman" w:hAnsi="Times New Roman" w:cs="Times New Roman" w:hint="default"/>
      </w:r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8" w15:restartNumberingAfterBreak="0">
    <w:nsid w:val="650D0299"/>
    <w:multiLevelType w:val="multilevel"/>
    <w:tmpl w:val="3B2A3C0A"/>
    <w:numStyleLink w:val="Headings"/>
  </w:abstractNum>
  <w:abstractNum w:abstractNumId="19"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0" w15:restartNumberingAfterBreak="0">
    <w:nsid w:val="76B12687"/>
    <w:multiLevelType w:val="hybridMultilevel"/>
    <w:tmpl w:val="85E2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B2A4FB5"/>
    <w:multiLevelType w:val="hybridMultilevel"/>
    <w:tmpl w:val="0D7246A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2" w15:restartNumberingAfterBreak="0">
    <w:nsid w:val="7D3106E1"/>
    <w:multiLevelType w:val="hybridMultilevel"/>
    <w:tmpl w:val="CE24C956"/>
    <w:lvl w:ilvl="0" w:tplc="08090017">
      <w:start w:val="1"/>
      <w:numFmt w:val="lowerLetter"/>
      <w:lvlText w:val="%1)"/>
      <w:lvlJc w:val="left"/>
      <w:pPr>
        <w:ind w:left="1068" w:hanging="360"/>
      </w:pPr>
    </w:lvl>
    <w:lvl w:ilvl="1" w:tplc="6602B6C4">
      <w:start w:val="1"/>
      <w:numFmt w:val="lowerLetter"/>
      <w:lvlText w:val="(%2)"/>
      <w:lvlJc w:val="left"/>
      <w:pPr>
        <w:ind w:left="1788" w:hanging="36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19"/>
  </w:num>
  <w:num w:numId="3">
    <w:abstractNumId w:val="2"/>
  </w:num>
  <w:num w:numId="4">
    <w:abstractNumId w:val="12"/>
  </w:num>
  <w:num w:numId="5">
    <w:abstractNumId w:val="11"/>
  </w:num>
  <w:num w:numId="6">
    <w:abstractNumId w:val="4"/>
  </w:num>
  <w:num w:numId="7">
    <w:abstractNumId w:val="22"/>
  </w:num>
  <w:num w:numId="8">
    <w:abstractNumId w:val="7"/>
  </w:num>
  <w:num w:numId="9">
    <w:abstractNumId w:val="6"/>
  </w:num>
  <w:num w:numId="10">
    <w:abstractNumId w:val="15"/>
  </w:num>
  <w:num w:numId="11">
    <w:abstractNumId w:val="9"/>
  </w:num>
  <w:num w:numId="12">
    <w:abstractNumId w:val="21"/>
  </w:num>
  <w:num w:numId="13">
    <w:abstractNumId w:val="3"/>
  </w:num>
  <w:num w:numId="14">
    <w:abstractNumId w:val="1"/>
  </w:num>
  <w:num w:numId="15">
    <w:abstractNumId w:val="17"/>
  </w:num>
  <w:num w:numId="16">
    <w:abstractNumId w:val="14"/>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D0"/>
    <w:rsid w:val="000457A8"/>
    <w:rsid w:val="00055C97"/>
    <w:rsid w:val="000759FD"/>
    <w:rsid w:val="00093C48"/>
    <w:rsid w:val="000A1D61"/>
    <w:rsid w:val="000D0215"/>
    <w:rsid w:val="000E11A0"/>
    <w:rsid w:val="00113B01"/>
    <w:rsid w:val="00140E6D"/>
    <w:rsid w:val="00144F9B"/>
    <w:rsid w:val="0015108A"/>
    <w:rsid w:val="0017051E"/>
    <w:rsid w:val="0017199A"/>
    <w:rsid w:val="00175004"/>
    <w:rsid w:val="00197CBE"/>
    <w:rsid w:val="001B7340"/>
    <w:rsid w:val="001E5967"/>
    <w:rsid w:val="00212861"/>
    <w:rsid w:val="00221779"/>
    <w:rsid w:val="00225669"/>
    <w:rsid w:val="00242A3B"/>
    <w:rsid w:val="002515D1"/>
    <w:rsid w:val="002D2DB1"/>
    <w:rsid w:val="002E33C6"/>
    <w:rsid w:val="003138C5"/>
    <w:rsid w:val="00322657"/>
    <w:rsid w:val="00327E9A"/>
    <w:rsid w:val="003425C4"/>
    <w:rsid w:val="00350210"/>
    <w:rsid w:val="00364C48"/>
    <w:rsid w:val="003801D0"/>
    <w:rsid w:val="003873CF"/>
    <w:rsid w:val="00392CA5"/>
    <w:rsid w:val="003B01C2"/>
    <w:rsid w:val="003B6480"/>
    <w:rsid w:val="003D7CEB"/>
    <w:rsid w:val="003E7114"/>
    <w:rsid w:val="003F3F81"/>
    <w:rsid w:val="003F7510"/>
    <w:rsid w:val="00416298"/>
    <w:rsid w:val="00416DD5"/>
    <w:rsid w:val="00420E50"/>
    <w:rsid w:val="004234E5"/>
    <w:rsid w:val="0043487C"/>
    <w:rsid w:val="00441F11"/>
    <w:rsid w:val="00447FC7"/>
    <w:rsid w:val="00451F9C"/>
    <w:rsid w:val="00452FD4"/>
    <w:rsid w:val="00454B64"/>
    <w:rsid w:val="004B3DEC"/>
    <w:rsid w:val="004B75FC"/>
    <w:rsid w:val="004E4354"/>
    <w:rsid w:val="004F64FA"/>
    <w:rsid w:val="00521260"/>
    <w:rsid w:val="00533692"/>
    <w:rsid w:val="00552D0A"/>
    <w:rsid w:val="00564D2F"/>
    <w:rsid w:val="005C3C3F"/>
    <w:rsid w:val="005C4A54"/>
    <w:rsid w:val="005D02B4"/>
    <w:rsid w:val="005F3394"/>
    <w:rsid w:val="00611112"/>
    <w:rsid w:val="006552DB"/>
    <w:rsid w:val="00667F9C"/>
    <w:rsid w:val="00676991"/>
    <w:rsid w:val="00694ED8"/>
    <w:rsid w:val="00695086"/>
    <w:rsid w:val="006A7E75"/>
    <w:rsid w:val="006B1E56"/>
    <w:rsid w:val="006C624C"/>
    <w:rsid w:val="006D0E4A"/>
    <w:rsid w:val="007335DF"/>
    <w:rsid w:val="00733AC2"/>
    <w:rsid w:val="007641BF"/>
    <w:rsid w:val="0077049A"/>
    <w:rsid w:val="00781B6E"/>
    <w:rsid w:val="007B4EEB"/>
    <w:rsid w:val="007B5826"/>
    <w:rsid w:val="007C3DE6"/>
    <w:rsid w:val="007D19E7"/>
    <w:rsid w:val="007F6E3A"/>
    <w:rsid w:val="008552FD"/>
    <w:rsid w:val="00875BFC"/>
    <w:rsid w:val="00881258"/>
    <w:rsid w:val="008E1CA5"/>
    <w:rsid w:val="008F4F3B"/>
    <w:rsid w:val="009013DF"/>
    <w:rsid w:val="00906659"/>
    <w:rsid w:val="0092024F"/>
    <w:rsid w:val="00920706"/>
    <w:rsid w:val="00951713"/>
    <w:rsid w:val="00987373"/>
    <w:rsid w:val="00993B89"/>
    <w:rsid w:val="009A4172"/>
    <w:rsid w:val="009B1150"/>
    <w:rsid w:val="009C314A"/>
    <w:rsid w:val="009C4F70"/>
    <w:rsid w:val="009F6AE9"/>
    <w:rsid w:val="00A22270"/>
    <w:rsid w:val="00A2531E"/>
    <w:rsid w:val="00A256F4"/>
    <w:rsid w:val="00A34A24"/>
    <w:rsid w:val="00A949C6"/>
    <w:rsid w:val="00A96A95"/>
    <w:rsid w:val="00AA2FC8"/>
    <w:rsid w:val="00AA527A"/>
    <w:rsid w:val="00AC547F"/>
    <w:rsid w:val="00AC7216"/>
    <w:rsid w:val="00AF44CC"/>
    <w:rsid w:val="00B01983"/>
    <w:rsid w:val="00B340B9"/>
    <w:rsid w:val="00B52E5D"/>
    <w:rsid w:val="00B534D8"/>
    <w:rsid w:val="00B85A41"/>
    <w:rsid w:val="00B92C4F"/>
    <w:rsid w:val="00BE7F31"/>
    <w:rsid w:val="00BF1FD3"/>
    <w:rsid w:val="00C16263"/>
    <w:rsid w:val="00C32F20"/>
    <w:rsid w:val="00C857B1"/>
    <w:rsid w:val="00CB44CB"/>
    <w:rsid w:val="00CC342D"/>
    <w:rsid w:val="00D0577B"/>
    <w:rsid w:val="00D34AF0"/>
    <w:rsid w:val="00D51826"/>
    <w:rsid w:val="00D772B4"/>
    <w:rsid w:val="00DA1DAB"/>
    <w:rsid w:val="00DB2E6B"/>
    <w:rsid w:val="00DC2E15"/>
    <w:rsid w:val="00DD44DF"/>
    <w:rsid w:val="00DE1906"/>
    <w:rsid w:val="00DF1549"/>
    <w:rsid w:val="00E16170"/>
    <w:rsid w:val="00E21BDA"/>
    <w:rsid w:val="00E23B36"/>
    <w:rsid w:val="00E33B37"/>
    <w:rsid w:val="00E81918"/>
    <w:rsid w:val="00E91483"/>
    <w:rsid w:val="00EA5FB7"/>
    <w:rsid w:val="00EB2326"/>
    <w:rsid w:val="00F04CBC"/>
    <w:rsid w:val="00F33140"/>
    <w:rsid w:val="00F61FB4"/>
    <w:rsid w:val="00FC1E17"/>
    <w:rsid w:val="00FC4173"/>
    <w:rsid w:val="00FD274C"/>
    <w:rsid w:val="00FE0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E4261"/>
  <w15:chartTrackingRefBased/>
  <w15:docId w15:val="{3A0D606C-6032-4D97-8BFB-C449E5B7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next w:val="Normal"/>
    <w:link w:val="Heading1Char"/>
    <w:uiPriority w:val="9"/>
    <w:qFormat/>
    <w:rsid w:val="006A7E75"/>
    <w:pPr>
      <w:keepNext/>
      <w:keepLines/>
      <w:tabs>
        <w:tab w:val="num" w:pos="360"/>
      </w:tabs>
      <w:spacing w:after="0" w:line="240" w:lineRule="auto"/>
      <w:ind w:left="360" w:hanging="360"/>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6A7E75"/>
    <w:pPr>
      <w:numPr>
        <w:ilvl w:val="1"/>
      </w:numPr>
      <w:tabs>
        <w:tab w:val="num" w:pos="360"/>
      </w:tabs>
      <w:spacing w:before="600" w:after="360"/>
      <w:ind w:left="360" w:hanging="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6A7E75"/>
    <w:pPr>
      <w:numPr>
        <w:ilvl w:val="2"/>
      </w:numPr>
      <w:tabs>
        <w:tab w:val="num" w:pos="360"/>
      </w:tabs>
      <w:spacing w:before="480" w:line="360" w:lineRule="exact"/>
      <w:ind w:left="360" w:hanging="360"/>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6A7E75"/>
    <w:pPr>
      <w:numPr>
        <w:ilvl w:val="3"/>
      </w:numPr>
      <w:tabs>
        <w:tab w:val="num" w:pos="360"/>
      </w:tabs>
      <w:spacing w:before="0" w:after="0"/>
      <w:ind w:left="360" w:hanging="360"/>
      <w:outlineLvl w:val="3"/>
    </w:pPr>
    <w:rPr>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9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086"/>
    <w:rPr>
      <w:lang w:val="en-GB"/>
    </w:rPr>
  </w:style>
  <w:style w:type="paragraph" w:styleId="Footer">
    <w:name w:val="footer"/>
    <w:basedOn w:val="Normal"/>
    <w:link w:val="FooterChar"/>
    <w:uiPriority w:val="99"/>
    <w:unhideWhenUsed/>
    <w:qFormat/>
    <w:rsid w:val="0069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086"/>
    <w:rPr>
      <w:lang w:val="en-GB"/>
    </w:rPr>
  </w:style>
  <w:style w:type="paragraph" w:customStyle="1" w:styleId="Recipientsaddress">
    <w:name w:val="Recipient's address"/>
    <w:next w:val="Normal"/>
    <w:link w:val="RecipientsaddressChar"/>
    <w:qFormat/>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DefaultParagraphFont"/>
    <w:link w:val="Recipientsaddress"/>
    <w:rsid w:val="00695086"/>
    <w:rPr>
      <w:rFonts w:ascii="Verdana" w:hAnsi="Verdana"/>
      <w:b/>
      <w:bCs/>
      <w:sz w:val="20"/>
      <w:szCs w:val="20"/>
      <w:lang w:val="de-DE"/>
    </w:rPr>
  </w:style>
  <w:style w:type="paragraph" w:customStyle="1" w:styleId="BodyText1">
    <w:name w:val="Body Text1"/>
    <w:link w:val="BodyText1Char"/>
    <w:qFormat/>
    <w:rsid w:val="00695086"/>
    <w:pPr>
      <w:autoSpaceDE w:val="0"/>
      <w:autoSpaceDN w:val="0"/>
      <w:adjustRightInd w:val="0"/>
      <w:spacing w:after="240" w:line="320" w:lineRule="exact"/>
      <w:ind w:left="1418"/>
      <w:jc w:val="both"/>
    </w:pPr>
    <w:rPr>
      <w:rFonts w:ascii="Verdana" w:eastAsia="Calibri" w:hAnsi="Verdana" w:cs="Helvetica"/>
      <w:sz w:val="19"/>
      <w:szCs w:val="19"/>
    </w:rPr>
  </w:style>
  <w:style w:type="paragraph" w:styleId="BalloonText">
    <w:name w:val="Balloon Text"/>
    <w:basedOn w:val="Normal"/>
    <w:link w:val="BalloonTextChar"/>
    <w:uiPriority w:val="99"/>
    <w:semiHidden/>
    <w:unhideWhenUsed/>
    <w:rsid w:val="00E33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37"/>
    <w:rPr>
      <w:rFonts w:ascii="Segoe UI" w:hAnsi="Segoe UI" w:cs="Segoe UI"/>
      <w:sz w:val="18"/>
      <w:szCs w:val="18"/>
      <w:lang w:val="en-GB"/>
    </w:rPr>
  </w:style>
  <w:style w:type="character" w:styleId="Hyperlink">
    <w:name w:val="Hyperlink"/>
    <w:basedOn w:val="DefaultParagraphFont"/>
    <w:uiPriority w:val="99"/>
    <w:unhideWhenUsed/>
    <w:rsid w:val="00A96A95"/>
    <w:rPr>
      <w:color w:val="0563C1"/>
      <w:u w:val="single"/>
    </w:rPr>
  </w:style>
  <w:style w:type="character" w:customStyle="1" w:styleId="Heading1Char">
    <w:name w:val="Heading 1 Char"/>
    <w:basedOn w:val="DefaultParagraphFont"/>
    <w:link w:val="Heading1"/>
    <w:uiPriority w:val="9"/>
    <w:rsid w:val="006A7E75"/>
    <w:rPr>
      <w:rFonts w:asciiTheme="majorHAnsi" w:eastAsiaTheme="majorEastAsia" w:hAnsiTheme="majorHAnsi" w:cstheme="majorBidi"/>
      <w:b/>
      <w:bCs/>
      <w:caps/>
      <w:color w:val="FFFFFF" w:themeColor="background1"/>
      <w:sz w:val="96"/>
      <w:szCs w:val="96"/>
      <w:lang w:val="fr-FR"/>
    </w:rPr>
  </w:style>
  <w:style w:type="character" w:customStyle="1" w:styleId="Heading2Char">
    <w:name w:val="Heading 2 Char"/>
    <w:basedOn w:val="DefaultParagraphFont"/>
    <w:link w:val="Heading2"/>
    <w:uiPriority w:val="9"/>
    <w:rsid w:val="006A7E75"/>
    <w:rPr>
      <w:rFonts w:asciiTheme="majorHAnsi" w:eastAsiaTheme="majorEastAsia" w:hAnsiTheme="majorHAnsi" w:cstheme="majorBidi"/>
      <w:b/>
      <w:color w:val="008D7F" w:themeColor="text1"/>
      <w:sz w:val="36"/>
      <w:szCs w:val="36"/>
    </w:rPr>
  </w:style>
  <w:style w:type="character" w:customStyle="1" w:styleId="Heading3Char">
    <w:name w:val="Heading 3 Char"/>
    <w:basedOn w:val="DefaultParagraphFont"/>
    <w:link w:val="Heading3"/>
    <w:uiPriority w:val="9"/>
    <w:rsid w:val="006A7E75"/>
    <w:rPr>
      <w:rFonts w:asciiTheme="majorHAnsi" w:eastAsiaTheme="majorEastAsia" w:hAnsiTheme="majorHAnsi" w:cstheme="majorBidi"/>
      <w:color w:val="06262D" w:themeColor="text2"/>
      <w:sz w:val="28"/>
      <w:szCs w:val="28"/>
    </w:rPr>
  </w:style>
  <w:style w:type="character" w:customStyle="1" w:styleId="Heading4Char">
    <w:name w:val="Heading 4 Char"/>
    <w:basedOn w:val="DefaultParagraphFont"/>
    <w:link w:val="Heading4"/>
    <w:uiPriority w:val="9"/>
    <w:rsid w:val="006A7E75"/>
    <w:rPr>
      <w:rFonts w:asciiTheme="majorHAnsi" w:eastAsiaTheme="majorEastAsia" w:hAnsiTheme="majorHAnsi" w:cstheme="majorBidi"/>
      <w:b/>
      <w:bCs/>
      <w:caps/>
      <w:color w:val="06262D" w:themeColor="text2"/>
      <w:sz w:val="20"/>
      <w:szCs w:val="28"/>
    </w:rPr>
  </w:style>
  <w:style w:type="paragraph" w:styleId="TOCHeading">
    <w:name w:val="TOC Heading"/>
    <w:basedOn w:val="Heading1"/>
    <w:next w:val="Normal"/>
    <w:uiPriority w:val="39"/>
    <w:unhideWhenUsed/>
    <w:qFormat/>
    <w:rsid w:val="006A7E75"/>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6A7E75"/>
    <w:pPr>
      <w:tabs>
        <w:tab w:val="right" w:leader="dot" w:pos="8931"/>
      </w:tabs>
      <w:spacing w:before="120" w:after="100" w:line="280" w:lineRule="exact"/>
    </w:pPr>
    <w:rPr>
      <w:b/>
      <w:color w:val="00231F" w:themeColor="text1" w:themeShade="40"/>
      <w:sz w:val="20"/>
      <w:szCs w:val="20"/>
      <w:lang w:val="fr-FR"/>
    </w:rPr>
  </w:style>
  <w:style w:type="paragraph" w:styleId="TOC2">
    <w:name w:val="toc 2"/>
    <w:basedOn w:val="Normal"/>
    <w:next w:val="Normal"/>
    <w:autoRedefine/>
    <w:uiPriority w:val="39"/>
    <w:unhideWhenUsed/>
    <w:qFormat/>
    <w:rsid w:val="006A7E75"/>
    <w:pPr>
      <w:tabs>
        <w:tab w:val="left" w:pos="880"/>
        <w:tab w:val="right" w:leader="dot" w:pos="8931"/>
      </w:tabs>
      <w:spacing w:before="120" w:after="100" w:line="280" w:lineRule="exact"/>
      <w:ind w:left="220"/>
    </w:pPr>
    <w:rPr>
      <w:b/>
      <w:color w:val="323537" w:themeColor="background2" w:themeShade="40"/>
      <w:sz w:val="20"/>
      <w:szCs w:val="20"/>
      <w:lang w:val="fr-FR"/>
    </w:rPr>
  </w:style>
  <w:style w:type="paragraph" w:styleId="Subtitle">
    <w:name w:val="Subtitle"/>
    <w:basedOn w:val="Normal"/>
    <w:next w:val="Normal"/>
    <w:link w:val="SubtitleChar"/>
    <w:uiPriority w:val="11"/>
    <w:qFormat/>
    <w:rsid w:val="006A7E75"/>
    <w:pPr>
      <w:spacing w:before="120" w:after="240" w:line="240" w:lineRule="auto"/>
    </w:pPr>
    <w:rPr>
      <w:color w:val="FFFFFF" w:themeColor="background1"/>
      <w:sz w:val="48"/>
      <w:szCs w:val="48"/>
      <w:lang w:val="fr-FR"/>
    </w:rPr>
  </w:style>
  <w:style w:type="character" w:customStyle="1" w:styleId="SubtitleChar">
    <w:name w:val="Subtitle Char"/>
    <w:basedOn w:val="DefaultParagraphFont"/>
    <w:link w:val="Subtitle"/>
    <w:uiPriority w:val="11"/>
    <w:rsid w:val="006A7E75"/>
    <w:rPr>
      <w:color w:val="FFFFFF" w:themeColor="background1"/>
      <w:sz w:val="48"/>
      <w:szCs w:val="48"/>
      <w:lang w:val="fr-FR"/>
    </w:rPr>
  </w:style>
  <w:style w:type="paragraph" w:styleId="Title">
    <w:name w:val="Title"/>
    <w:basedOn w:val="Normal"/>
    <w:next w:val="Normal"/>
    <w:link w:val="TitleChar"/>
    <w:uiPriority w:val="10"/>
    <w:qFormat/>
    <w:rsid w:val="006A7E75"/>
    <w:pPr>
      <w:spacing w:before="120" w:after="240" w:line="240" w:lineRule="auto"/>
    </w:pPr>
    <w:rPr>
      <w:rFonts w:cstheme="majorHAnsi"/>
      <w:b/>
      <w:bCs/>
      <w:caps/>
      <w:noProof/>
      <w:color w:val="FFFFFF" w:themeColor="background1"/>
      <w:sz w:val="96"/>
      <w:szCs w:val="96"/>
      <w:lang w:val="fr-FR"/>
    </w:rPr>
  </w:style>
  <w:style w:type="character" w:customStyle="1" w:styleId="TitleChar">
    <w:name w:val="Title Char"/>
    <w:basedOn w:val="DefaultParagraphFont"/>
    <w:link w:val="Title"/>
    <w:uiPriority w:val="10"/>
    <w:rsid w:val="006A7E75"/>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6A7E75"/>
    <w:pPr>
      <w:spacing w:before="120" w:after="240" w:line="280" w:lineRule="exact"/>
    </w:pPr>
    <w:rPr>
      <w:caps/>
      <w:color w:val="FFFFFF" w:themeColor="background1"/>
      <w:sz w:val="24"/>
      <w:szCs w:val="24"/>
      <w:lang w:val="fr-FR"/>
    </w:rPr>
  </w:style>
  <w:style w:type="character" w:customStyle="1" w:styleId="DateChar">
    <w:name w:val="Date Char"/>
    <w:basedOn w:val="DefaultParagraphFont"/>
    <w:link w:val="Date"/>
    <w:uiPriority w:val="99"/>
    <w:rsid w:val="006A7E75"/>
    <w:rPr>
      <w:caps/>
      <w:color w:val="FFFFFF" w:themeColor="background1"/>
      <w:sz w:val="24"/>
      <w:szCs w:val="24"/>
      <w:lang w:val="fr-FR"/>
    </w:rPr>
  </w:style>
  <w:style w:type="character" w:styleId="FootnoteReference">
    <w:name w:val="footnote reference"/>
    <w:uiPriority w:val="99"/>
    <w:unhideWhenUsed/>
    <w:qFormat/>
    <w:rsid w:val="006A7E75"/>
    <w:rPr>
      <w:color w:val="323537" w:themeColor="background2" w:themeShade="40"/>
      <w:vertAlign w:val="superscript"/>
    </w:rPr>
  </w:style>
  <w:style w:type="numbering" w:customStyle="1" w:styleId="Headings">
    <w:name w:val="Headings"/>
    <w:uiPriority w:val="99"/>
    <w:rsid w:val="006A7E75"/>
    <w:pPr>
      <w:numPr>
        <w:numId w:val="3"/>
      </w:numPr>
    </w:pPr>
  </w:style>
  <w:style w:type="paragraph" w:styleId="Revision">
    <w:name w:val="Revision"/>
    <w:hidden/>
    <w:uiPriority w:val="99"/>
    <w:semiHidden/>
    <w:rsid w:val="007B4EEB"/>
    <w:pPr>
      <w:spacing w:after="0" w:line="240" w:lineRule="auto"/>
    </w:pPr>
    <w:rPr>
      <w:lang w:val="en-GB"/>
    </w:rPr>
  </w:style>
  <w:style w:type="paragraph" w:styleId="ListParagraph">
    <w:name w:val="List Paragraph"/>
    <w:basedOn w:val="Normal"/>
    <w:uiPriority w:val="34"/>
    <w:qFormat/>
    <w:rsid w:val="007B4EEB"/>
    <w:pPr>
      <w:ind w:left="720"/>
      <w:contextualSpacing/>
    </w:pPr>
  </w:style>
  <w:style w:type="paragraph" w:customStyle="1" w:styleId="Default">
    <w:name w:val="Default"/>
    <w:rsid w:val="003425C4"/>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ListBullet">
    <w:name w:val="List Bullet"/>
    <w:basedOn w:val="Normal"/>
    <w:unhideWhenUsed/>
    <w:qFormat/>
    <w:rsid w:val="00DC2E15"/>
    <w:pPr>
      <w:numPr>
        <w:numId w:val="2"/>
      </w:numPr>
      <w:spacing w:before="120" w:after="0" w:line="280" w:lineRule="exact"/>
      <w:ind w:left="357" w:hanging="357"/>
    </w:pPr>
    <w:rPr>
      <w:color w:val="323537" w:themeColor="background2" w:themeShade="40"/>
      <w:sz w:val="20"/>
      <w:szCs w:val="20"/>
      <w:lang w:val="fr-FR"/>
    </w:rPr>
  </w:style>
  <w:style w:type="paragraph" w:customStyle="1" w:styleId="GenericHeading">
    <w:name w:val="Generic Heading"/>
    <w:basedOn w:val="Normal"/>
    <w:link w:val="GenericHeadingChar"/>
    <w:qFormat/>
    <w:rsid w:val="00DC2E15"/>
    <w:pPr>
      <w:autoSpaceDE w:val="0"/>
      <w:autoSpaceDN w:val="0"/>
      <w:adjustRightInd w:val="0"/>
      <w:spacing w:after="400"/>
    </w:pPr>
    <w:rPr>
      <w:rFonts w:ascii="Verdana" w:eastAsia="Calibri" w:hAnsi="Verdana" w:cs="Helvetica"/>
      <w:b/>
      <w:bCs/>
      <w:color w:val="008D7F" w:themeColor="text1"/>
      <w:sz w:val="52"/>
      <w:szCs w:val="52"/>
      <w:lang w:val="en-US"/>
    </w:rPr>
  </w:style>
  <w:style w:type="character" w:customStyle="1" w:styleId="GenericHeadingChar">
    <w:name w:val="Generic Heading Char"/>
    <w:basedOn w:val="DefaultParagraphFont"/>
    <w:link w:val="GenericHeading"/>
    <w:rsid w:val="00DC2E15"/>
    <w:rPr>
      <w:rFonts w:ascii="Verdana" w:eastAsia="Calibri" w:hAnsi="Verdana" w:cs="Helvetica"/>
      <w:b/>
      <w:bCs/>
      <w:color w:val="008D7F" w:themeColor="text1"/>
      <w:sz w:val="52"/>
      <w:szCs w:val="52"/>
    </w:rPr>
  </w:style>
  <w:style w:type="paragraph" w:styleId="BodyTextIndent">
    <w:name w:val="Body Text Indent"/>
    <w:basedOn w:val="Normal"/>
    <w:link w:val="BodyTextIndentChar"/>
    <w:qFormat/>
    <w:rsid w:val="00DC2E15"/>
    <w:pPr>
      <w:spacing w:after="312" w:line="250" w:lineRule="exact"/>
      <w:ind w:left="397"/>
    </w:pPr>
    <w:rPr>
      <w:rFonts w:ascii="Arial" w:hAnsi="Arial"/>
      <w:color w:val="000000"/>
      <w:sz w:val="20"/>
      <w:lang w:val="it-IT"/>
    </w:rPr>
  </w:style>
  <w:style w:type="character" w:customStyle="1" w:styleId="BodyTextIndentChar">
    <w:name w:val="Body Text Indent Char"/>
    <w:basedOn w:val="DefaultParagraphFont"/>
    <w:link w:val="BodyTextIndent"/>
    <w:rsid w:val="00DC2E15"/>
    <w:rPr>
      <w:rFonts w:ascii="Arial" w:hAnsi="Arial"/>
      <w:color w:val="000000"/>
      <w:sz w:val="20"/>
      <w:lang w:val="it-IT"/>
    </w:rPr>
  </w:style>
  <w:style w:type="character" w:styleId="Emphasis">
    <w:name w:val="Emphasis"/>
    <w:basedOn w:val="DefaultParagraphFont"/>
    <w:uiPriority w:val="20"/>
    <w:rsid w:val="00DC2E15"/>
    <w:rPr>
      <w:i/>
      <w:iCs/>
    </w:rPr>
  </w:style>
  <w:style w:type="character" w:styleId="Strong">
    <w:name w:val="Strong"/>
    <w:basedOn w:val="DefaultParagraphFont"/>
    <w:uiPriority w:val="22"/>
    <w:rsid w:val="00DC2E15"/>
    <w:rPr>
      <w:b/>
      <w:bCs/>
    </w:rPr>
  </w:style>
  <w:style w:type="character" w:customStyle="1" w:styleId="BodyText1Char">
    <w:name w:val="Body Text1 Char"/>
    <w:basedOn w:val="DefaultParagraphFont"/>
    <w:link w:val="BodyText1"/>
    <w:rsid w:val="000D0215"/>
    <w:rPr>
      <w:rFonts w:ascii="Verdana" w:eastAsia="Calibri" w:hAnsi="Verdana" w:cs="Helvetica"/>
      <w:sz w:val="19"/>
      <w:szCs w:val="19"/>
    </w:rPr>
  </w:style>
  <w:style w:type="paragraph" w:styleId="BodyText">
    <w:name w:val="Body Text"/>
    <w:basedOn w:val="Normal"/>
    <w:link w:val="BodyTextChar"/>
    <w:uiPriority w:val="99"/>
    <w:semiHidden/>
    <w:unhideWhenUsed/>
    <w:rsid w:val="00B534D8"/>
    <w:pPr>
      <w:spacing w:after="120"/>
    </w:pPr>
  </w:style>
  <w:style w:type="character" w:customStyle="1" w:styleId="BodyTextChar">
    <w:name w:val="Body Text Char"/>
    <w:basedOn w:val="DefaultParagraphFont"/>
    <w:link w:val="BodyText"/>
    <w:uiPriority w:val="99"/>
    <w:semiHidden/>
    <w:rsid w:val="00B534D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246">
      <w:bodyDiv w:val="1"/>
      <w:marLeft w:val="0"/>
      <w:marRight w:val="0"/>
      <w:marTop w:val="0"/>
      <w:marBottom w:val="0"/>
      <w:divBdr>
        <w:top w:val="none" w:sz="0" w:space="0" w:color="auto"/>
        <w:left w:val="none" w:sz="0" w:space="0" w:color="auto"/>
        <w:bottom w:val="none" w:sz="0" w:space="0" w:color="auto"/>
        <w:right w:val="none" w:sz="0" w:space="0" w:color="auto"/>
      </w:divBdr>
    </w:div>
    <w:div w:id="660430512">
      <w:bodyDiv w:val="1"/>
      <w:marLeft w:val="0"/>
      <w:marRight w:val="0"/>
      <w:marTop w:val="0"/>
      <w:marBottom w:val="0"/>
      <w:divBdr>
        <w:top w:val="none" w:sz="0" w:space="0" w:color="auto"/>
        <w:left w:val="none" w:sz="0" w:space="0" w:color="auto"/>
        <w:bottom w:val="none" w:sz="0" w:space="0" w:color="auto"/>
        <w:right w:val="none" w:sz="0" w:space="0" w:color="auto"/>
      </w:divBdr>
    </w:div>
    <w:div w:id="1423524534">
      <w:bodyDiv w:val="1"/>
      <w:marLeft w:val="0"/>
      <w:marRight w:val="0"/>
      <w:marTop w:val="0"/>
      <w:marBottom w:val="0"/>
      <w:divBdr>
        <w:top w:val="none" w:sz="0" w:space="0" w:color="auto"/>
        <w:left w:val="none" w:sz="0" w:space="0" w:color="auto"/>
        <w:bottom w:val="none" w:sz="0" w:space="0" w:color="auto"/>
        <w:right w:val="none" w:sz="0" w:space="0" w:color="auto"/>
      </w:divBdr>
    </w:div>
    <w:div w:id="1590000209">
      <w:bodyDiv w:val="1"/>
      <w:marLeft w:val="0"/>
      <w:marRight w:val="0"/>
      <w:marTop w:val="0"/>
      <w:marBottom w:val="0"/>
      <w:divBdr>
        <w:top w:val="none" w:sz="0" w:space="0" w:color="auto"/>
        <w:left w:val="none" w:sz="0" w:space="0" w:color="auto"/>
        <w:bottom w:val="none" w:sz="0" w:space="0" w:color="auto"/>
        <w:right w:val="none" w:sz="0" w:space="0" w:color="auto"/>
      </w:divBdr>
    </w:div>
    <w:div w:id="1755204756">
      <w:bodyDiv w:val="1"/>
      <w:marLeft w:val="0"/>
      <w:marRight w:val="0"/>
      <w:marTop w:val="0"/>
      <w:marBottom w:val="0"/>
      <w:divBdr>
        <w:top w:val="none" w:sz="0" w:space="0" w:color="auto"/>
        <w:left w:val="none" w:sz="0" w:space="0" w:color="auto"/>
        <w:bottom w:val="none" w:sz="0" w:space="0" w:color="auto"/>
        <w:right w:val="none" w:sz="0" w:space="0" w:color="auto"/>
      </w:divBdr>
    </w:div>
    <w:div w:id="2058892210">
      <w:bodyDiv w:val="1"/>
      <w:marLeft w:val="0"/>
      <w:marRight w:val="0"/>
      <w:marTop w:val="0"/>
      <w:marBottom w:val="0"/>
      <w:divBdr>
        <w:top w:val="none" w:sz="0" w:space="0" w:color="auto"/>
        <w:left w:val="none" w:sz="0" w:space="0" w:color="auto"/>
        <w:bottom w:val="none" w:sz="0" w:space="0" w:color="auto"/>
        <w:right w:val="none" w:sz="0" w:space="0" w:color="auto"/>
      </w:divBdr>
    </w:div>
    <w:div w:id="21429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Monte%20Titoli%20&#8211;%20MKT\Euronext%20Integration\CSD%20EURONEXT%20REBRANDING\Templates\Euronext%20Securities%20Milan%20letterhead.dotx" TargetMode="External"/></Relationship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1" ma:contentTypeDescription="Create a new document." ma:contentTypeScope="" ma:versionID="964eea290a745e085755381b54db0a5b">
  <xsd:schema xmlns:xsd="http://www.w3.org/2001/XMLSchema" xmlns:xs="http://www.w3.org/2001/XMLSchema" xmlns:p="http://schemas.microsoft.com/office/2006/metadata/properties" xmlns:ns2="d1b76904-ca03-4d86-829a-42c0191bd825" targetNamespace="http://schemas.microsoft.com/office/2006/metadata/properties" ma:root="true" ma:fieldsID="d65b2166a4f39f7a5e0c9d17c729b51b" ns2:_="">
    <xsd:import namespace="d1b76904-ca03-4d86-829a-42c0191bd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Props1.xml><?xml version="1.0" encoding="utf-8"?>
<ds:datastoreItem xmlns:ds="http://schemas.openxmlformats.org/officeDocument/2006/customXml" ds:itemID="{806E20E7-4061-4753-99CF-943AC7658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58852-0BC7-4949-B1FD-E0696148B6DF}">
  <ds:schemaRefs>
    <ds:schemaRef ds:uri="http://schemas.microsoft.com/sharepoint/v3/contenttype/forms"/>
  </ds:schemaRefs>
</ds:datastoreItem>
</file>

<file path=customXml/itemProps3.xml><?xml version="1.0" encoding="utf-8"?>
<ds:datastoreItem xmlns:ds="http://schemas.openxmlformats.org/officeDocument/2006/customXml" ds:itemID="{DE91F68B-4D19-4502-B392-494F3E706A6B}">
  <ds:schemaRefs>
    <ds:schemaRef ds:uri="http://schemas.openxmlformats.org/officeDocument/2006/bibliography"/>
  </ds:schemaRefs>
</ds:datastoreItem>
</file>

<file path=customXml/itemProps4.xml><?xml version="1.0" encoding="utf-8"?>
<ds:datastoreItem xmlns:ds="http://schemas.openxmlformats.org/officeDocument/2006/customXml" ds:itemID="{C83F945B-DC23-4688-93C0-B53029874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76904-ca03-4d86-829a-42c0191b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56F0E0-42D9-4B29-A534-3E12B7048C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Euronext Securities Milan letterhead</Template>
  <TotalTime>0</TotalTime>
  <Pages>4</Pages>
  <Words>1402</Words>
  <Characters>7993</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Dermes, Maria</dc:creator>
  <cp:keywords/>
  <dc:description/>
  <cp:lastModifiedBy>Michelangelo Ippoliti - Contractor</cp:lastModifiedBy>
  <cp:revision>6</cp:revision>
  <dcterms:created xsi:type="dcterms:W3CDTF">2022-02-23T11:16:00Z</dcterms:created>
  <dcterms:modified xsi:type="dcterms:W3CDTF">2022-03-04T14:53:00Z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51415429-736f-4cf3-826f-3ece8f609de8</vt:lpwstr>
  </property>
  <property fmtid="{D5CDD505-2E9C-101B-9397-08002B2CF9AE}" pid="3" name="bjSaver">
    <vt:lpwstr>0Xs8C8HyHXXa8aQRKkWXh6FD1/MBKWsT</vt:lpwstr>
  </property>
  <property fmtid="{D5CDD505-2E9C-101B-9397-08002B2CF9AE}" pid="4" name="bjDocumentLabelXML">
    <vt:lpwstr>&lt;?xml version="1.0" encoding="us-ascii"?&gt;&lt;sisl xmlns:xsi="http://www.w3.org/2001/XMLSchema-instance" xmlns:xsd="http://www.w3.org/2001/XMLSchema" sislVersion="0" policy="404ce55e-d47d-4e22-b0f7-c3e46cb4e632" origin="defaultValue"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Internal</vt:lpwstr>
  </property>
  <property fmtid="{D5CDD505-2E9C-101B-9397-08002B2CF9AE}" pid="7" name="bjFooterBothDocProperty">
    <vt:lpwstr>INTERNAL USE ONLY</vt:lpwstr>
  </property>
  <property fmtid="{D5CDD505-2E9C-101B-9397-08002B2CF9AE}" pid="8" name="bjFooterFirstPageDocProperty">
    <vt:lpwstr>INTERNAL USE ONLY</vt:lpwstr>
  </property>
  <property fmtid="{D5CDD505-2E9C-101B-9397-08002B2CF9AE}" pid="9" name="bjFooterEvenPageDocProperty">
    <vt:lpwstr>INTERNAL USE ONLY</vt:lpwstr>
  </property>
  <property fmtid="{D5CDD505-2E9C-101B-9397-08002B2CF9AE}" pid="10" name="ContentTypeId">
    <vt:lpwstr>0x010100E194283A991E06489179F4BAF97A4721</vt:lpwstr>
  </property>
  <property fmtid="{D5CDD505-2E9C-101B-9397-08002B2CF9AE}" pid="11" name="MSIP_Label_ac0b9ce6-6e99-42a1-af95-429494370cbc_Enabled">
    <vt:lpwstr>true</vt:lpwstr>
  </property>
  <property fmtid="{D5CDD505-2E9C-101B-9397-08002B2CF9AE}" pid="12" name="MSIP_Label_ac0b9ce6-6e99-42a1-af95-429494370cbc_SetDate">
    <vt:lpwstr>2022-02-23T11:16:41Z</vt:lpwstr>
  </property>
  <property fmtid="{D5CDD505-2E9C-101B-9397-08002B2CF9AE}" pid="13" name="MSIP_Label_ac0b9ce6-6e99-42a1-af95-429494370cbc_Method">
    <vt:lpwstr>Standard</vt:lpwstr>
  </property>
  <property fmtid="{D5CDD505-2E9C-101B-9397-08002B2CF9AE}" pid="14" name="MSIP_Label_ac0b9ce6-6e99-42a1-af95-429494370cbc_Name">
    <vt:lpwstr>ac0b9ce6-6e99-42a1-af95-429494370cbc</vt:lpwstr>
  </property>
  <property fmtid="{D5CDD505-2E9C-101B-9397-08002B2CF9AE}" pid="15" name="MSIP_Label_ac0b9ce6-6e99-42a1-af95-429494370cbc_SiteId">
    <vt:lpwstr>315b1ee5-c224-498b-871e-c140611d6d07</vt:lpwstr>
  </property>
  <property fmtid="{D5CDD505-2E9C-101B-9397-08002B2CF9AE}" pid="16" name="MSIP_Label_ac0b9ce6-6e99-42a1-af95-429494370cbc_ActionId">
    <vt:lpwstr>d38a3a51-0ab0-4f89-b592-f08c697839cf</vt:lpwstr>
  </property>
  <property fmtid="{D5CDD505-2E9C-101B-9397-08002B2CF9AE}" pid="17" name="MSIP_Label_ac0b9ce6-6e99-42a1-af95-429494370cbc_ContentBits">
    <vt:lpwstr>2</vt:lpwstr>
  </property>
</Properties>
</file>