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2C" w:rsidRPr="009A49A4" w:rsidRDefault="00506E2C" w:rsidP="00506E2C">
      <w:pPr>
        <w:rPr>
          <w:b/>
          <w:sz w:val="28"/>
          <w:szCs w:val="28"/>
          <w:lang w:val="en-GB"/>
        </w:rPr>
      </w:pPr>
      <w:r w:rsidRPr="007811F5">
        <w:rPr>
          <w:b/>
          <w:sz w:val="28"/>
          <w:szCs w:val="28"/>
          <w:lang w:val="en-GB"/>
        </w:rPr>
        <w:t>Application form – Approval as a Merkur Advisor for investment firms that are not members of Merkur Market or Oslo Børs</w:t>
      </w:r>
    </w:p>
    <w:p w:rsidR="00506E2C" w:rsidRPr="007811F5" w:rsidRDefault="00506E2C" w:rsidP="00506E2C">
      <w:pPr>
        <w:rPr>
          <w:lang w:val="en-GB"/>
        </w:rPr>
      </w:pPr>
    </w:p>
    <w:p w:rsidR="00506E2C" w:rsidRPr="007811F5" w:rsidRDefault="00506E2C" w:rsidP="00506E2C">
      <w:pPr>
        <w:rPr>
          <w:sz w:val="20"/>
          <w:szCs w:val="20"/>
          <w:lang w:val="en-GB"/>
        </w:rPr>
      </w:pPr>
      <w:r w:rsidRPr="007811F5">
        <w:rPr>
          <w:sz w:val="20"/>
          <w:szCs w:val="20"/>
          <w:lang w:val="en-GB"/>
        </w:rPr>
        <w:t xml:space="preserve">The investment firm </w:t>
      </w:r>
      <w:r w:rsidRPr="007811F5">
        <w:rPr>
          <w:sz w:val="20"/>
          <w:szCs w:val="20"/>
          <w:u w:val="single"/>
          <w:lang w:val="en-GB"/>
        </w:rPr>
        <w:t xml:space="preserve">__________________________ </w:t>
      </w:r>
      <w:r w:rsidRPr="007811F5">
        <w:rPr>
          <w:sz w:val="20"/>
          <w:szCs w:val="20"/>
          <w:u w:val="single"/>
          <w:lang w:val="en-GB"/>
        </w:rPr>
        <w:softHyphen/>
        <w:t>____________________</w:t>
      </w:r>
      <w:r w:rsidRPr="007811F5">
        <w:rPr>
          <w:sz w:val="20"/>
          <w:szCs w:val="20"/>
          <w:lang w:val="en-GB"/>
        </w:rPr>
        <w:t xml:space="preserve"> hereby applies to be approved as an advisor to issuers applyin</w:t>
      </w:r>
      <w:bookmarkStart w:id="0" w:name="_GoBack"/>
      <w:bookmarkEnd w:id="0"/>
      <w:r w:rsidRPr="007811F5">
        <w:rPr>
          <w:sz w:val="20"/>
          <w:szCs w:val="20"/>
          <w:lang w:val="en-GB"/>
        </w:rPr>
        <w:t>g for admission to trading on Merkur Market (“Merkur Advisor”).</w:t>
      </w:r>
    </w:p>
    <w:p w:rsidR="00506E2C" w:rsidRPr="007811F5" w:rsidRDefault="00506E2C" w:rsidP="00506E2C">
      <w:pPr>
        <w:rPr>
          <w:sz w:val="20"/>
          <w:szCs w:val="20"/>
          <w:lang w:val="en-GB"/>
        </w:rPr>
      </w:pPr>
    </w:p>
    <w:p w:rsidR="00506E2C" w:rsidRPr="007811F5" w:rsidRDefault="00506E2C" w:rsidP="00506E2C">
      <w:pPr>
        <w:rPr>
          <w:sz w:val="20"/>
          <w:szCs w:val="20"/>
          <w:lang w:val="en-GB"/>
        </w:rPr>
      </w:pPr>
      <w:r w:rsidRPr="007811F5">
        <w:rPr>
          <w:sz w:val="20"/>
          <w:szCs w:val="20"/>
          <w:lang w:val="en-GB"/>
        </w:rPr>
        <w:t xml:space="preserve">The admission to trading rules that apply for Merkur Market apply from the point in time at which the investment firm is granted approval by Oslo Børs ASA. In the event that a Merkur Advisor breaches the admission rules for Merkur Market, the rules on sanctions in Section 6 (“Compliance Procedures”) of the Merkur Market Member and Trading Rules shall apply accordingly to the extent they are relevant. The relevant rules are available on Oslo Børs </w:t>
      </w:r>
      <w:r>
        <w:rPr>
          <w:sz w:val="20"/>
          <w:szCs w:val="20"/>
          <w:lang w:val="en-GB"/>
        </w:rPr>
        <w:t xml:space="preserve">ASA’s </w:t>
      </w:r>
      <w:r w:rsidRPr="007811F5">
        <w:rPr>
          <w:sz w:val="20"/>
          <w:szCs w:val="20"/>
          <w:lang w:val="en-GB"/>
        </w:rPr>
        <w:t>website, www.oslobors.no.</w:t>
      </w:r>
    </w:p>
    <w:p w:rsidR="00506E2C" w:rsidRPr="007811F5" w:rsidRDefault="00506E2C" w:rsidP="00506E2C">
      <w:pPr>
        <w:rPr>
          <w:sz w:val="20"/>
          <w:szCs w:val="20"/>
          <w:lang w:val="en-GB"/>
        </w:rPr>
      </w:pPr>
    </w:p>
    <w:p w:rsidR="00506E2C" w:rsidRPr="007811F5" w:rsidRDefault="00506E2C" w:rsidP="00506E2C">
      <w:pPr>
        <w:rPr>
          <w:b/>
          <w:sz w:val="20"/>
          <w:szCs w:val="20"/>
          <w:lang w:val="en-GB"/>
        </w:rPr>
      </w:pPr>
      <w:r w:rsidRPr="007811F5">
        <w:rPr>
          <w:b/>
          <w:sz w:val="20"/>
          <w:szCs w:val="20"/>
          <w:lang w:val="en-GB"/>
        </w:rPr>
        <w:t>Name and Address of the Merkur Advisor</w:t>
      </w:r>
    </w:p>
    <w:tbl>
      <w:tblPr>
        <w:tblStyle w:val="Tabellrutenett"/>
        <w:tblW w:w="9493" w:type="dxa"/>
        <w:tblLook w:val="04A0" w:firstRow="1" w:lastRow="0" w:firstColumn="1" w:lastColumn="0" w:noHBand="0" w:noVBand="1"/>
      </w:tblPr>
      <w:tblGrid>
        <w:gridCol w:w="1555"/>
        <w:gridCol w:w="7938"/>
      </w:tblGrid>
      <w:tr w:rsidR="00506E2C" w:rsidRPr="007811F5" w:rsidTr="003D40F8">
        <w:tc>
          <w:tcPr>
            <w:tcW w:w="1555" w:type="dxa"/>
          </w:tcPr>
          <w:p w:rsidR="00506E2C" w:rsidRPr="007811F5" w:rsidRDefault="00506E2C" w:rsidP="00506E2C">
            <w:pPr>
              <w:rPr>
                <w:sz w:val="20"/>
                <w:szCs w:val="20"/>
                <w:lang w:val="en-GB"/>
              </w:rPr>
            </w:pPr>
            <w:r w:rsidRPr="007811F5">
              <w:rPr>
                <w:sz w:val="20"/>
                <w:szCs w:val="20"/>
                <w:lang w:val="en-GB"/>
              </w:rPr>
              <w:t>Name:</w:t>
            </w:r>
          </w:p>
        </w:tc>
        <w:tc>
          <w:tcPr>
            <w:tcW w:w="7938" w:type="dxa"/>
          </w:tcPr>
          <w:p w:rsidR="00506E2C" w:rsidRPr="007811F5" w:rsidRDefault="00506E2C" w:rsidP="00506E2C">
            <w:pPr>
              <w:rPr>
                <w:sz w:val="20"/>
                <w:szCs w:val="20"/>
                <w:lang w:val="en-GB"/>
              </w:rPr>
            </w:pPr>
          </w:p>
        </w:tc>
      </w:tr>
      <w:tr w:rsidR="00506E2C" w:rsidRPr="007811F5" w:rsidTr="003D40F8">
        <w:tc>
          <w:tcPr>
            <w:tcW w:w="1555" w:type="dxa"/>
          </w:tcPr>
          <w:p w:rsidR="00506E2C" w:rsidRPr="007811F5" w:rsidRDefault="00506E2C" w:rsidP="00506E2C">
            <w:pPr>
              <w:rPr>
                <w:sz w:val="20"/>
                <w:szCs w:val="20"/>
                <w:lang w:val="en-GB"/>
              </w:rPr>
            </w:pPr>
            <w:r w:rsidRPr="007811F5">
              <w:rPr>
                <w:sz w:val="20"/>
                <w:szCs w:val="20"/>
                <w:lang w:val="en-GB"/>
              </w:rPr>
              <w:t>Address:</w:t>
            </w:r>
          </w:p>
        </w:tc>
        <w:tc>
          <w:tcPr>
            <w:tcW w:w="7938" w:type="dxa"/>
          </w:tcPr>
          <w:p w:rsidR="00506E2C" w:rsidRPr="007811F5" w:rsidRDefault="00506E2C" w:rsidP="00506E2C">
            <w:pPr>
              <w:rPr>
                <w:sz w:val="20"/>
                <w:szCs w:val="20"/>
                <w:lang w:val="en-GB"/>
              </w:rPr>
            </w:pPr>
          </w:p>
        </w:tc>
      </w:tr>
      <w:tr w:rsidR="00506E2C" w:rsidRPr="007811F5" w:rsidTr="003D40F8">
        <w:tc>
          <w:tcPr>
            <w:tcW w:w="1555" w:type="dxa"/>
          </w:tcPr>
          <w:p w:rsidR="00506E2C" w:rsidRPr="007811F5" w:rsidRDefault="00506E2C" w:rsidP="00506E2C">
            <w:pPr>
              <w:rPr>
                <w:sz w:val="20"/>
                <w:szCs w:val="20"/>
                <w:lang w:val="en-GB"/>
              </w:rPr>
            </w:pPr>
            <w:r w:rsidRPr="007811F5">
              <w:rPr>
                <w:sz w:val="20"/>
                <w:szCs w:val="20"/>
                <w:lang w:val="en-GB"/>
              </w:rPr>
              <w:t>Org. number:</w:t>
            </w:r>
          </w:p>
        </w:tc>
        <w:tc>
          <w:tcPr>
            <w:tcW w:w="7938" w:type="dxa"/>
          </w:tcPr>
          <w:p w:rsidR="00506E2C" w:rsidRPr="007811F5" w:rsidRDefault="00506E2C" w:rsidP="00506E2C">
            <w:pPr>
              <w:rPr>
                <w:sz w:val="20"/>
                <w:szCs w:val="20"/>
                <w:lang w:val="en-GB"/>
              </w:rPr>
            </w:pPr>
          </w:p>
        </w:tc>
      </w:tr>
      <w:tr w:rsidR="00506E2C" w:rsidRPr="007811F5" w:rsidTr="003D40F8">
        <w:tc>
          <w:tcPr>
            <w:tcW w:w="1555" w:type="dxa"/>
          </w:tcPr>
          <w:p w:rsidR="00506E2C" w:rsidRPr="007811F5" w:rsidRDefault="00506E2C" w:rsidP="00506E2C">
            <w:pPr>
              <w:rPr>
                <w:sz w:val="20"/>
                <w:szCs w:val="20"/>
                <w:lang w:val="en-GB"/>
              </w:rPr>
            </w:pPr>
            <w:r w:rsidRPr="007811F5">
              <w:rPr>
                <w:sz w:val="20"/>
                <w:szCs w:val="20"/>
                <w:lang w:val="en-GB"/>
              </w:rPr>
              <w:t>Website:</w:t>
            </w:r>
          </w:p>
        </w:tc>
        <w:tc>
          <w:tcPr>
            <w:tcW w:w="7938" w:type="dxa"/>
          </w:tcPr>
          <w:p w:rsidR="00506E2C" w:rsidRPr="007811F5" w:rsidRDefault="00506E2C" w:rsidP="00506E2C">
            <w:pPr>
              <w:rPr>
                <w:sz w:val="20"/>
                <w:szCs w:val="20"/>
                <w:lang w:val="en-GB"/>
              </w:rPr>
            </w:pPr>
          </w:p>
        </w:tc>
      </w:tr>
    </w:tbl>
    <w:p w:rsidR="00506E2C" w:rsidRPr="007811F5" w:rsidRDefault="00506E2C" w:rsidP="00506E2C">
      <w:pPr>
        <w:rPr>
          <w:sz w:val="20"/>
          <w:szCs w:val="20"/>
          <w:lang w:val="en-GB"/>
        </w:rPr>
      </w:pPr>
    </w:p>
    <w:p w:rsidR="00506E2C" w:rsidRPr="007811F5" w:rsidRDefault="00506E2C" w:rsidP="00506E2C">
      <w:pPr>
        <w:rPr>
          <w:b/>
          <w:sz w:val="20"/>
          <w:szCs w:val="20"/>
          <w:lang w:val="en-GB"/>
        </w:rPr>
      </w:pPr>
      <w:r w:rsidRPr="007811F5">
        <w:rPr>
          <w:b/>
          <w:sz w:val="20"/>
          <w:szCs w:val="20"/>
          <w:lang w:val="en-GB"/>
        </w:rPr>
        <w:t>Contact persons and persons from the Merkur Advisor who are to act as advisors (Details of at least two persons must be provided)</w:t>
      </w:r>
    </w:p>
    <w:tbl>
      <w:tblPr>
        <w:tblStyle w:val="Tabellrutenett"/>
        <w:tblW w:w="9493" w:type="dxa"/>
        <w:tblLook w:val="04A0" w:firstRow="1" w:lastRow="0" w:firstColumn="1" w:lastColumn="0" w:noHBand="0" w:noVBand="1"/>
      </w:tblPr>
      <w:tblGrid>
        <w:gridCol w:w="1555"/>
        <w:gridCol w:w="3685"/>
        <w:gridCol w:w="4253"/>
      </w:tblGrid>
      <w:tr w:rsidR="00506E2C" w:rsidRPr="007811F5" w:rsidTr="003D40F8">
        <w:tc>
          <w:tcPr>
            <w:tcW w:w="1555" w:type="dxa"/>
          </w:tcPr>
          <w:p w:rsidR="00506E2C" w:rsidRPr="007811F5" w:rsidRDefault="00506E2C" w:rsidP="00506E2C">
            <w:pPr>
              <w:rPr>
                <w:sz w:val="20"/>
                <w:szCs w:val="20"/>
                <w:lang w:val="en-GB"/>
              </w:rPr>
            </w:pPr>
          </w:p>
        </w:tc>
        <w:tc>
          <w:tcPr>
            <w:tcW w:w="3685" w:type="dxa"/>
          </w:tcPr>
          <w:p w:rsidR="00506E2C" w:rsidRPr="007811F5" w:rsidRDefault="00506E2C" w:rsidP="00506E2C">
            <w:pPr>
              <w:rPr>
                <w:sz w:val="20"/>
                <w:szCs w:val="20"/>
                <w:lang w:val="en-GB"/>
              </w:rPr>
            </w:pPr>
            <w:r w:rsidRPr="007811F5">
              <w:rPr>
                <w:sz w:val="20"/>
                <w:szCs w:val="20"/>
                <w:lang w:val="en-GB"/>
              </w:rPr>
              <w:t>Advisor 1:</w:t>
            </w:r>
          </w:p>
        </w:tc>
        <w:tc>
          <w:tcPr>
            <w:tcW w:w="4253" w:type="dxa"/>
          </w:tcPr>
          <w:p w:rsidR="00506E2C" w:rsidRPr="007811F5" w:rsidRDefault="00506E2C" w:rsidP="00506E2C">
            <w:pPr>
              <w:rPr>
                <w:sz w:val="20"/>
                <w:szCs w:val="20"/>
                <w:lang w:val="en-GB"/>
              </w:rPr>
            </w:pPr>
            <w:r w:rsidRPr="007811F5">
              <w:rPr>
                <w:sz w:val="20"/>
                <w:szCs w:val="20"/>
                <w:lang w:val="en-GB"/>
              </w:rPr>
              <w:t>Advisor 2:</w:t>
            </w:r>
          </w:p>
        </w:tc>
      </w:tr>
      <w:tr w:rsidR="00506E2C" w:rsidRPr="007811F5" w:rsidTr="003D40F8">
        <w:tc>
          <w:tcPr>
            <w:tcW w:w="1555" w:type="dxa"/>
          </w:tcPr>
          <w:p w:rsidR="00506E2C" w:rsidRPr="007811F5" w:rsidRDefault="00506E2C" w:rsidP="00506E2C">
            <w:pPr>
              <w:rPr>
                <w:sz w:val="20"/>
                <w:szCs w:val="20"/>
                <w:lang w:val="en-GB"/>
              </w:rPr>
            </w:pPr>
            <w:r w:rsidRPr="007811F5">
              <w:rPr>
                <w:sz w:val="20"/>
                <w:szCs w:val="20"/>
                <w:lang w:val="en-GB"/>
              </w:rPr>
              <w:t>Name:</w:t>
            </w:r>
          </w:p>
        </w:tc>
        <w:tc>
          <w:tcPr>
            <w:tcW w:w="3685" w:type="dxa"/>
          </w:tcPr>
          <w:p w:rsidR="00506E2C" w:rsidRPr="007811F5" w:rsidRDefault="00506E2C" w:rsidP="00506E2C">
            <w:pPr>
              <w:rPr>
                <w:sz w:val="20"/>
                <w:szCs w:val="20"/>
                <w:lang w:val="en-GB"/>
              </w:rPr>
            </w:pPr>
          </w:p>
        </w:tc>
        <w:tc>
          <w:tcPr>
            <w:tcW w:w="4253" w:type="dxa"/>
          </w:tcPr>
          <w:p w:rsidR="00506E2C" w:rsidRPr="007811F5" w:rsidRDefault="00506E2C" w:rsidP="00506E2C">
            <w:pPr>
              <w:rPr>
                <w:sz w:val="20"/>
                <w:szCs w:val="20"/>
                <w:lang w:val="en-GB"/>
              </w:rPr>
            </w:pPr>
          </w:p>
        </w:tc>
      </w:tr>
      <w:tr w:rsidR="00506E2C" w:rsidRPr="007811F5" w:rsidTr="003D40F8">
        <w:tc>
          <w:tcPr>
            <w:tcW w:w="1555" w:type="dxa"/>
          </w:tcPr>
          <w:p w:rsidR="00506E2C" w:rsidRPr="007811F5" w:rsidRDefault="00506E2C" w:rsidP="00506E2C">
            <w:pPr>
              <w:rPr>
                <w:sz w:val="20"/>
                <w:szCs w:val="20"/>
                <w:lang w:val="en-GB"/>
              </w:rPr>
            </w:pPr>
            <w:r w:rsidRPr="007811F5">
              <w:rPr>
                <w:sz w:val="20"/>
                <w:szCs w:val="20"/>
                <w:lang w:val="en-GB"/>
              </w:rPr>
              <w:t>Position:</w:t>
            </w:r>
          </w:p>
        </w:tc>
        <w:tc>
          <w:tcPr>
            <w:tcW w:w="3685" w:type="dxa"/>
          </w:tcPr>
          <w:p w:rsidR="00506E2C" w:rsidRPr="007811F5" w:rsidRDefault="00506E2C" w:rsidP="00506E2C">
            <w:pPr>
              <w:rPr>
                <w:sz w:val="20"/>
                <w:szCs w:val="20"/>
                <w:lang w:val="en-GB"/>
              </w:rPr>
            </w:pPr>
          </w:p>
        </w:tc>
        <w:tc>
          <w:tcPr>
            <w:tcW w:w="4253" w:type="dxa"/>
          </w:tcPr>
          <w:p w:rsidR="00506E2C" w:rsidRPr="007811F5" w:rsidRDefault="00506E2C" w:rsidP="00506E2C">
            <w:pPr>
              <w:rPr>
                <w:sz w:val="20"/>
                <w:szCs w:val="20"/>
                <w:lang w:val="en-GB"/>
              </w:rPr>
            </w:pPr>
          </w:p>
        </w:tc>
      </w:tr>
      <w:tr w:rsidR="00506E2C" w:rsidRPr="007811F5" w:rsidTr="003D40F8">
        <w:tc>
          <w:tcPr>
            <w:tcW w:w="1555" w:type="dxa"/>
          </w:tcPr>
          <w:p w:rsidR="00506E2C" w:rsidRPr="007811F5" w:rsidRDefault="00506E2C" w:rsidP="00506E2C">
            <w:pPr>
              <w:rPr>
                <w:sz w:val="20"/>
                <w:szCs w:val="20"/>
                <w:lang w:val="en-GB"/>
              </w:rPr>
            </w:pPr>
            <w:r w:rsidRPr="007811F5">
              <w:rPr>
                <w:sz w:val="20"/>
                <w:szCs w:val="20"/>
                <w:lang w:val="en-GB"/>
              </w:rPr>
              <w:t>Tel/mobile:</w:t>
            </w:r>
          </w:p>
        </w:tc>
        <w:tc>
          <w:tcPr>
            <w:tcW w:w="3685" w:type="dxa"/>
          </w:tcPr>
          <w:p w:rsidR="00506E2C" w:rsidRPr="007811F5" w:rsidRDefault="00506E2C" w:rsidP="00506E2C">
            <w:pPr>
              <w:rPr>
                <w:sz w:val="20"/>
                <w:szCs w:val="20"/>
                <w:lang w:val="en-GB"/>
              </w:rPr>
            </w:pPr>
          </w:p>
        </w:tc>
        <w:tc>
          <w:tcPr>
            <w:tcW w:w="4253" w:type="dxa"/>
          </w:tcPr>
          <w:p w:rsidR="00506E2C" w:rsidRPr="007811F5" w:rsidRDefault="00506E2C" w:rsidP="00506E2C">
            <w:pPr>
              <w:rPr>
                <w:sz w:val="20"/>
                <w:szCs w:val="20"/>
                <w:lang w:val="en-GB"/>
              </w:rPr>
            </w:pPr>
          </w:p>
        </w:tc>
      </w:tr>
      <w:tr w:rsidR="00506E2C" w:rsidRPr="007811F5" w:rsidTr="003D40F8">
        <w:tc>
          <w:tcPr>
            <w:tcW w:w="1555" w:type="dxa"/>
          </w:tcPr>
          <w:p w:rsidR="00506E2C" w:rsidRPr="007811F5" w:rsidRDefault="00506E2C" w:rsidP="00506E2C">
            <w:pPr>
              <w:rPr>
                <w:sz w:val="20"/>
                <w:szCs w:val="20"/>
                <w:lang w:val="en-GB"/>
              </w:rPr>
            </w:pPr>
            <w:r w:rsidRPr="007811F5">
              <w:rPr>
                <w:sz w:val="20"/>
                <w:szCs w:val="20"/>
                <w:lang w:val="en-GB"/>
              </w:rPr>
              <w:t>Email:</w:t>
            </w:r>
          </w:p>
        </w:tc>
        <w:tc>
          <w:tcPr>
            <w:tcW w:w="3685" w:type="dxa"/>
          </w:tcPr>
          <w:p w:rsidR="00506E2C" w:rsidRPr="007811F5" w:rsidRDefault="00506E2C" w:rsidP="00506E2C">
            <w:pPr>
              <w:rPr>
                <w:sz w:val="20"/>
                <w:szCs w:val="20"/>
                <w:lang w:val="en-GB"/>
              </w:rPr>
            </w:pPr>
          </w:p>
        </w:tc>
        <w:tc>
          <w:tcPr>
            <w:tcW w:w="4253" w:type="dxa"/>
          </w:tcPr>
          <w:p w:rsidR="00506E2C" w:rsidRPr="007811F5" w:rsidRDefault="00506E2C" w:rsidP="00506E2C">
            <w:pPr>
              <w:rPr>
                <w:sz w:val="20"/>
                <w:szCs w:val="20"/>
                <w:lang w:val="en-GB"/>
              </w:rPr>
            </w:pPr>
          </w:p>
        </w:tc>
      </w:tr>
    </w:tbl>
    <w:p w:rsidR="00506E2C" w:rsidRPr="007811F5" w:rsidRDefault="00506E2C" w:rsidP="00506E2C">
      <w:pPr>
        <w:rPr>
          <w:sz w:val="20"/>
          <w:szCs w:val="20"/>
          <w:lang w:val="en-GB"/>
        </w:rPr>
      </w:pPr>
    </w:p>
    <w:p w:rsidR="00506E2C" w:rsidRPr="007811F5" w:rsidRDefault="00506E2C" w:rsidP="00506E2C">
      <w:pPr>
        <w:rPr>
          <w:sz w:val="20"/>
          <w:szCs w:val="20"/>
          <w:lang w:val="en-GB"/>
        </w:rPr>
      </w:pPr>
      <w:r w:rsidRPr="007811F5">
        <w:rPr>
          <w:sz w:val="20"/>
          <w:szCs w:val="20"/>
          <w:lang w:val="en-GB"/>
        </w:rPr>
        <w:t>Oslo Børs ASA must be notified of any changes in writing without undue delay. Persons from the Merkur Advisor who are to act as advisors must attend a course in the regulations at Oslo Børs ASA. Exemptions may be granted if an advisor can provide evidence of sufficient experience and expertise.</w:t>
      </w:r>
    </w:p>
    <w:p w:rsidR="00506E2C" w:rsidRPr="007811F5" w:rsidRDefault="00506E2C" w:rsidP="00506E2C">
      <w:pPr>
        <w:rPr>
          <w:sz w:val="20"/>
          <w:szCs w:val="20"/>
          <w:lang w:val="en-GB"/>
        </w:rPr>
      </w:pPr>
    </w:p>
    <w:p w:rsidR="00506E2C" w:rsidRPr="007811F5" w:rsidRDefault="00506E2C" w:rsidP="00506E2C">
      <w:pPr>
        <w:rPr>
          <w:sz w:val="20"/>
          <w:szCs w:val="20"/>
          <w:lang w:val="en-GB"/>
        </w:rPr>
      </w:pPr>
      <w:r w:rsidRPr="007811F5">
        <w:rPr>
          <w:sz w:val="20"/>
          <w:szCs w:val="20"/>
          <w:lang w:val="en-GB"/>
        </w:rPr>
        <w:t xml:space="preserve">Location: </w:t>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r>
      <w:r w:rsidRPr="007811F5">
        <w:rPr>
          <w:sz w:val="20"/>
          <w:szCs w:val="20"/>
          <w:lang w:val="en-GB"/>
        </w:rPr>
        <w:softHyphen/>
        <w:t>______________________________</w:t>
      </w:r>
      <w:proofErr w:type="gramStart"/>
      <w:r w:rsidRPr="007811F5">
        <w:rPr>
          <w:sz w:val="20"/>
          <w:szCs w:val="20"/>
          <w:lang w:val="en-GB"/>
        </w:rPr>
        <w:t>_  Date</w:t>
      </w:r>
      <w:proofErr w:type="gramEnd"/>
      <w:r w:rsidRPr="007811F5">
        <w:rPr>
          <w:sz w:val="20"/>
          <w:szCs w:val="20"/>
          <w:lang w:val="en-GB"/>
        </w:rPr>
        <w:t>: ________________</w:t>
      </w:r>
    </w:p>
    <w:p w:rsidR="00506E2C" w:rsidRPr="007811F5" w:rsidRDefault="00506E2C" w:rsidP="00506E2C">
      <w:pPr>
        <w:rPr>
          <w:sz w:val="20"/>
          <w:szCs w:val="20"/>
          <w:lang w:val="en-GB"/>
        </w:rPr>
      </w:pPr>
    </w:p>
    <w:p w:rsidR="00506E2C" w:rsidRPr="007811F5" w:rsidRDefault="00506E2C" w:rsidP="00506E2C">
      <w:pPr>
        <w:rPr>
          <w:sz w:val="20"/>
          <w:szCs w:val="20"/>
          <w:lang w:val="en-GB"/>
        </w:rPr>
      </w:pPr>
      <w:r w:rsidRPr="007811F5">
        <w:rPr>
          <w:sz w:val="20"/>
          <w:szCs w:val="20"/>
          <w:lang w:val="en-GB"/>
        </w:rPr>
        <w:t>___________________________________________________________________</w:t>
      </w:r>
    </w:p>
    <w:p w:rsidR="00506E2C" w:rsidRPr="007811F5" w:rsidRDefault="00506E2C" w:rsidP="00506E2C">
      <w:pPr>
        <w:rPr>
          <w:i/>
          <w:sz w:val="20"/>
          <w:szCs w:val="20"/>
          <w:lang w:val="en-GB"/>
        </w:rPr>
      </w:pPr>
      <w:r w:rsidRPr="007811F5">
        <w:rPr>
          <w:i/>
          <w:sz w:val="20"/>
          <w:szCs w:val="20"/>
          <w:lang w:val="en-GB"/>
        </w:rPr>
        <w:t>(Signature on behalf of the Merkur Advisor)</w:t>
      </w:r>
    </w:p>
    <w:p w:rsidR="00506E2C" w:rsidRPr="007811F5" w:rsidRDefault="00506E2C" w:rsidP="00506E2C">
      <w:pPr>
        <w:rPr>
          <w:sz w:val="20"/>
          <w:szCs w:val="20"/>
          <w:lang w:val="en-GB"/>
        </w:rPr>
      </w:pPr>
    </w:p>
    <w:p w:rsidR="00506E2C" w:rsidRPr="007811F5" w:rsidRDefault="00506E2C" w:rsidP="00506E2C">
      <w:pPr>
        <w:rPr>
          <w:sz w:val="20"/>
          <w:szCs w:val="20"/>
          <w:lang w:val="en-GB"/>
        </w:rPr>
      </w:pPr>
      <w:r w:rsidRPr="007811F5">
        <w:rPr>
          <w:sz w:val="20"/>
          <w:szCs w:val="20"/>
          <w:lang w:val="en-GB"/>
        </w:rPr>
        <w:t>Name in block capitals: ___________________________________________________________________</w:t>
      </w:r>
    </w:p>
    <w:p w:rsidR="00506E2C" w:rsidRPr="007811F5" w:rsidRDefault="00506E2C" w:rsidP="00506E2C">
      <w:pPr>
        <w:rPr>
          <w:sz w:val="20"/>
          <w:szCs w:val="20"/>
          <w:lang w:val="en-GB"/>
        </w:rPr>
      </w:pPr>
    </w:p>
    <w:p w:rsidR="00506E2C" w:rsidRPr="00696EDB" w:rsidRDefault="00506E2C" w:rsidP="00506E2C">
      <w:pPr>
        <w:rPr>
          <w:b/>
          <w:sz w:val="20"/>
          <w:szCs w:val="20"/>
          <w:lang w:val="en-GB"/>
        </w:rPr>
      </w:pPr>
      <w:r w:rsidRPr="007811F5">
        <w:rPr>
          <w:b/>
          <w:sz w:val="20"/>
          <w:szCs w:val="20"/>
          <w:lang w:val="en-GB"/>
        </w:rPr>
        <w:t>The following must be attached to the application:</w:t>
      </w:r>
    </w:p>
    <w:tbl>
      <w:tblPr>
        <w:tblStyle w:val="Tabellrutenett"/>
        <w:tblW w:w="9493" w:type="dxa"/>
        <w:tblLook w:val="04A0" w:firstRow="1" w:lastRow="0" w:firstColumn="1" w:lastColumn="0" w:noHBand="0" w:noVBand="1"/>
      </w:tblPr>
      <w:tblGrid>
        <w:gridCol w:w="421"/>
        <w:gridCol w:w="9072"/>
      </w:tblGrid>
      <w:tr w:rsidR="00506E2C" w:rsidRPr="007811F5" w:rsidTr="000662C5">
        <w:tc>
          <w:tcPr>
            <w:tcW w:w="421" w:type="dxa"/>
            <w:tcBorders>
              <w:right w:val="single" w:sz="4" w:space="0" w:color="auto"/>
            </w:tcBorders>
          </w:tcPr>
          <w:p w:rsidR="00506E2C" w:rsidRPr="007811F5" w:rsidRDefault="00506E2C" w:rsidP="00506E2C">
            <w:pPr>
              <w:rPr>
                <w:sz w:val="20"/>
                <w:szCs w:val="20"/>
                <w:lang w:val="en-GB"/>
              </w:rPr>
            </w:pPr>
          </w:p>
        </w:tc>
        <w:tc>
          <w:tcPr>
            <w:tcW w:w="9072" w:type="dxa"/>
            <w:tcBorders>
              <w:top w:val="nil"/>
              <w:left w:val="single" w:sz="4" w:space="0" w:color="auto"/>
              <w:bottom w:val="nil"/>
              <w:right w:val="nil"/>
            </w:tcBorders>
          </w:tcPr>
          <w:p w:rsidR="00506E2C" w:rsidRPr="007811F5" w:rsidRDefault="00506E2C" w:rsidP="00506E2C">
            <w:pPr>
              <w:rPr>
                <w:sz w:val="20"/>
                <w:szCs w:val="20"/>
                <w:lang w:val="en-GB"/>
              </w:rPr>
            </w:pPr>
            <w:r w:rsidRPr="007811F5">
              <w:rPr>
                <w:sz w:val="20"/>
                <w:szCs w:val="20"/>
                <w:lang w:val="en-GB"/>
              </w:rPr>
              <w:t>Latest annual report</w:t>
            </w:r>
          </w:p>
        </w:tc>
      </w:tr>
      <w:tr w:rsidR="00506E2C" w:rsidRPr="007811F5" w:rsidTr="000662C5">
        <w:tc>
          <w:tcPr>
            <w:tcW w:w="421" w:type="dxa"/>
            <w:tcBorders>
              <w:right w:val="single" w:sz="4" w:space="0" w:color="auto"/>
            </w:tcBorders>
          </w:tcPr>
          <w:p w:rsidR="00506E2C" w:rsidRPr="007811F5" w:rsidRDefault="00506E2C" w:rsidP="00506E2C">
            <w:pPr>
              <w:rPr>
                <w:sz w:val="20"/>
                <w:szCs w:val="20"/>
                <w:lang w:val="en-GB"/>
              </w:rPr>
            </w:pPr>
          </w:p>
        </w:tc>
        <w:tc>
          <w:tcPr>
            <w:tcW w:w="9072" w:type="dxa"/>
            <w:tcBorders>
              <w:top w:val="nil"/>
              <w:left w:val="single" w:sz="4" w:space="0" w:color="auto"/>
              <w:bottom w:val="nil"/>
              <w:right w:val="nil"/>
            </w:tcBorders>
          </w:tcPr>
          <w:p w:rsidR="00506E2C" w:rsidRPr="007811F5" w:rsidRDefault="00506E2C" w:rsidP="00506E2C">
            <w:pPr>
              <w:rPr>
                <w:sz w:val="20"/>
                <w:szCs w:val="20"/>
                <w:lang w:val="en-GB"/>
              </w:rPr>
            </w:pPr>
            <w:r w:rsidRPr="007811F5">
              <w:rPr>
                <w:sz w:val="20"/>
                <w:szCs w:val="20"/>
                <w:lang w:val="en-GB"/>
              </w:rPr>
              <w:t xml:space="preserve">Articles of Association </w:t>
            </w:r>
          </w:p>
        </w:tc>
      </w:tr>
      <w:tr w:rsidR="00506E2C" w:rsidRPr="00696EDB" w:rsidTr="000662C5">
        <w:tc>
          <w:tcPr>
            <w:tcW w:w="421" w:type="dxa"/>
            <w:tcBorders>
              <w:right w:val="single" w:sz="4" w:space="0" w:color="auto"/>
            </w:tcBorders>
          </w:tcPr>
          <w:p w:rsidR="00506E2C" w:rsidRPr="007811F5" w:rsidRDefault="00506E2C" w:rsidP="00506E2C">
            <w:pPr>
              <w:rPr>
                <w:sz w:val="20"/>
                <w:szCs w:val="20"/>
                <w:lang w:val="en-GB"/>
              </w:rPr>
            </w:pPr>
          </w:p>
        </w:tc>
        <w:tc>
          <w:tcPr>
            <w:tcW w:w="9072" w:type="dxa"/>
            <w:tcBorders>
              <w:top w:val="nil"/>
              <w:left w:val="single" w:sz="4" w:space="0" w:color="auto"/>
              <w:bottom w:val="nil"/>
              <w:right w:val="nil"/>
            </w:tcBorders>
          </w:tcPr>
          <w:p w:rsidR="00506E2C" w:rsidRPr="007811F5" w:rsidRDefault="00506E2C" w:rsidP="00506E2C">
            <w:pPr>
              <w:rPr>
                <w:sz w:val="20"/>
                <w:szCs w:val="20"/>
                <w:lang w:val="en-GB"/>
              </w:rPr>
            </w:pPr>
            <w:r w:rsidRPr="007811F5">
              <w:rPr>
                <w:sz w:val="20"/>
                <w:szCs w:val="20"/>
                <w:lang w:val="en-GB"/>
              </w:rPr>
              <w:t>Certificate of corporate registration that is not more than three months old</w:t>
            </w:r>
          </w:p>
        </w:tc>
      </w:tr>
      <w:tr w:rsidR="00506E2C" w:rsidRPr="00696EDB" w:rsidTr="000662C5">
        <w:tc>
          <w:tcPr>
            <w:tcW w:w="421" w:type="dxa"/>
            <w:tcBorders>
              <w:right w:val="single" w:sz="4" w:space="0" w:color="auto"/>
            </w:tcBorders>
          </w:tcPr>
          <w:p w:rsidR="00506E2C" w:rsidRPr="007811F5" w:rsidRDefault="00506E2C" w:rsidP="00506E2C">
            <w:pPr>
              <w:rPr>
                <w:sz w:val="20"/>
                <w:szCs w:val="20"/>
                <w:lang w:val="en-GB"/>
              </w:rPr>
            </w:pPr>
          </w:p>
        </w:tc>
        <w:tc>
          <w:tcPr>
            <w:tcW w:w="9072" w:type="dxa"/>
            <w:tcBorders>
              <w:top w:val="nil"/>
              <w:left w:val="single" w:sz="4" w:space="0" w:color="auto"/>
              <w:bottom w:val="nil"/>
              <w:right w:val="nil"/>
            </w:tcBorders>
          </w:tcPr>
          <w:p w:rsidR="00506E2C" w:rsidRPr="007811F5" w:rsidRDefault="00506E2C" w:rsidP="00506E2C">
            <w:pPr>
              <w:rPr>
                <w:sz w:val="20"/>
                <w:szCs w:val="20"/>
                <w:lang w:val="en-GB"/>
              </w:rPr>
            </w:pPr>
            <w:r w:rsidRPr="007811F5">
              <w:rPr>
                <w:sz w:val="20"/>
                <w:szCs w:val="20"/>
                <w:lang w:val="en-GB"/>
              </w:rPr>
              <w:t>If relevant, the power of attorney currently held by the individual signing on behalf of the Merkur Advisor</w:t>
            </w:r>
          </w:p>
        </w:tc>
      </w:tr>
      <w:tr w:rsidR="00506E2C" w:rsidRPr="00696EDB" w:rsidTr="000662C5">
        <w:tc>
          <w:tcPr>
            <w:tcW w:w="421" w:type="dxa"/>
            <w:tcBorders>
              <w:right w:val="single" w:sz="4" w:space="0" w:color="auto"/>
            </w:tcBorders>
          </w:tcPr>
          <w:p w:rsidR="00506E2C" w:rsidRPr="007811F5" w:rsidRDefault="00506E2C" w:rsidP="00506E2C">
            <w:pPr>
              <w:rPr>
                <w:sz w:val="20"/>
                <w:szCs w:val="20"/>
                <w:lang w:val="en-GB"/>
              </w:rPr>
            </w:pPr>
          </w:p>
        </w:tc>
        <w:tc>
          <w:tcPr>
            <w:tcW w:w="9072" w:type="dxa"/>
            <w:tcBorders>
              <w:top w:val="nil"/>
              <w:left w:val="single" w:sz="4" w:space="0" w:color="auto"/>
              <w:bottom w:val="nil"/>
              <w:right w:val="nil"/>
            </w:tcBorders>
          </w:tcPr>
          <w:p w:rsidR="00506E2C" w:rsidRPr="007811F5" w:rsidRDefault="00506E2C" w:rsidP="00506E2C">
            <w:pPr>
              <w:rPr>
                <w:sz w:val="20"/>
                <w:szCs w:val="20"/>
                <w:lang w:val="en-GB"/>
              </w:rPr>
            </w:pPr>
            <w:r w:rsidRPr="007811F5">
              <w:rPr>
                <w:sz w:val="20"/>
                <w:szCs w:val="20"/>
                <w:lang w:val="en-GB"/>
              </w:rPr>
              <w:t xml:space="preserve">Confirmation from </w:t>
            </w:r>
            <w:proofErr w:type="spellStart"/>
            <w:r w:rsidRPr="007811F5">
              <w:rPr>
                <w:sz w:val="20"/>
                <w:szCs w:val="20"/>
                <w:lang w:val="en-GB"/>
              </w:rPr>
              <w:t>Finanstilsynet</w:t>
            </w:r>
            <w:proofErr w:type="spellEnd"/>
            <w:r w:rsidRPr="007811F5">
              <w:rPr>
                <w:sz w:val="20"/>
                <w:szCs w:val="20"/>
                <w:lang w:val="en-GB"/>
              </w:rPr>
              <w:t xml:space="preserve"> of the authorisations held by the firm </w:t>
            </w:r>
          </w:p>
        </w:tc>
      </w:tr>
      <w:tr w:rsidR="00506E2C" w:rsidRPr="00696EDB" w:rsidTr="000662C5">
        <w:tc>
          <w:tcPr>
            <w:tcW w:w="421" w:type="dxa"/>
            <w:tcBorders>
              <w:right w:val="single" w:sz="4" w:space="0" w:color="auto"/>
            </w:tcBorders>
          </w:tcPr>
          <w:p w:rsidR="00506E2C" w:rsidRPr="007811F5" w:rsidRDefault="00506E2C" w:rsidP="00506E2C">
            <w:pPr>
              <w:rPr>
                <w:sz w:val="20"/>
                <w:szCs w:val="20"/>
                <w:lang w:val="en-GB"/>
              </w:rPr>
            </w:pPr>
          </w:p>
        </w:tc>
        <w:tc>
          <w:tcPr>
            <w:tcW w:w="9072" w:type="dxa"/>
            <w:tcBorders>
              <w:top w:val="nil"/>
              <w:left w:val="single" w:sz="4" w:space="0" w:color="auto"/>
              <w:bottom w:val="nil"/>
              <w:right w:val="nil"/>
            </w:tcBorders>
          </w:tcPr>
          <w:p w:rsidR="00506E2C" w:rsidRPr="007811F5" w:rsidRDefault="00506E2C" w:rsidP="00506E2C">
            <w:pPr>
              <w:rPr>
                <w:sz w:val="20"/>
                <w:szCs w:val="20"/>
                <w:lang w:val="en-GB"/>
              </w:rPr>
            </w:pPr>
            <w:r w:rsidRPr="007811F5">
              <w:rPr>
                <w:sz w:val="20"/>
                <w:szCs w:val="20"/>
                <w:lang w:val="en-GB"/>
              </w:rPr>
              <w:t>CVs for the persons from the Merkur Advisor who are to act as advisors, and if relevant a statement on their expertise and experience</w:t>
            </w:r>
          </w:p>
        </w:tc>
      </w:tr>
      <w:tr w:rsidR="00506E2C" w:rsidRPr="00696EDB" w:rsidTr="000662C5">
        <w:tc>
          <w:tcPr>
            <w:tcW w:w="421" w:type="dxa"/>
            <w:tcBorders>
              <w:right w:val="single" w:sz="4" w:space="0" w:color="auto"/>
            </w:tcBorders>
          </w:tcPr>
          <w:p w:rsidR="00506E2C" w:rsidRPr="007811F5" w:rsidRDefault="00506E2C" w:rsidP="00506E2C">
            <w:pPr>
              <w:rPr>
                <w:sz w:val="20"/>
                <w:szCs w:val="20"/>
                <w:lang w:val="en-GB"/>
              </w:rPr>
            </w:pPr>
          </w:p>
        </w:tc>
        <w:tc>
          <w:tcPr>
            <w:tcW w:w="9072" w:type="dxa"/>
            <w:tcBorders>
              <w:top w:val="nil"/>
              <w:left w:val="single" w:sz="4" w:space="0" w:color="auto"/>
              <w:bottom w:val="nil"/>
              <w:right w:val="nil"/>
            </w:tcBorders>
          </w:tcPr>
          <w:p w:rsidR="00506E2C" w:rsidRPr="007811F5" w:rsidRDefault="00506E2C" w:rsidP="00506E2C">
            <w:pPr>
              <w:rPr>
                <w:sz w:val="20"/>
                <w:szCs w:val="20"/>
                <w:lang w:val="en-GB"/>
              </w:rPr>
            </w:pPr>
            <w:r w:rsidRPr="007811F5">
              <w:rPr>
                <w:sz w:val="20"/>
                <w:szCs w:val="20"/>
                <w:lang w:val="en-GB"/>
              </w:rPr>
              <w:t>Details of the internal procedures that have been set up for the purposes of preventing potential conflicts of interest</w:t>
            </w:r>
          </w:p>
        </w:tc>
      </w:tr>
      <w:tr w:rsidR="00506E2C" w:rsidRPr="00696EDB" w:rsidTr="000662C5">
        <w:tc>
          <w:tcPr>
            <w:tcW w:w="421" w:type="dxa"/>
            <w:tcBorders>
              <w:right w:val="single" w:sz="4" w:space="0" w:color="auto"/>
            </w:tcBorders>
          </w:tcPr>
          <w:p w:rsidR="00506E2C" w:rsidRPr="007811F5" w:rsidRDefault="00506E2C" w:rsidP="00506E2C">
            <w:pPr>
              <w:rPr>
                <w:sz w:val="20"/>
                <w:szCs w:val="20"/>
                <w:lang w:val="en-GB"/>
              </w:rPr>
            </w:pPr>
          </w:p>
        </w:tc>
        <w:tc>
          <w:tcPr>
            <w:tcW w:w="9072" w:type="dxa"/>
            <w:tcBorders>
              <w:top w:val="nil"/>
              <w:left w:val="single" w:sz="4" w:space="0" w:color="auto"/>
              <w:bottom w:val="nil"/>
              <w:right w:val="nil"/>
            </w:tcBorders>
          </w:tcPr>
          <w:p w:rsidR="00506E2C" w:rsidRPr="007811F5" w:rsidRDefault="00506E2C" w:rsidP="00506E2C">
            <w:pPr>
              <w:rPr>
                <w:sz w:val="20"/>
                <w:szCs w:val="20"/>
                <w:lang w:val="en-GB"/>
              </w:rPr>
            </w:pPr>
            <w:r w:rsidRPr="007811F5">
              <w:rPr>
                <w:sz w:val="20"/>
                <w:szCs w:val="20"/>
                <w:lang w:val="en-GB"/>
              </w:rPr>
              <w:t xml:space="preserve">If the investment firm applying for approval is not authorised to provide corporate finance services in Norway pursuant to </w:t>
            </w:r>
            <w:r w:rsidR="000662C5" w:rsidRPr="000662C5">
              <w:rPr>
                <w:sz w:val="20"/>
                <w:szCs w:val="20"/>
                <w:lang w:val="en-GB"/>
              </w:rPr>
              <w:t xml:space="preserve">Section 2-1, first paragraph, item 6 and 7 and Section 2-6, first paragraph, item 3 of the </w:t>
            </w:r>
            <w:r w:rsidRPr="007811F5">
              <w:rPr>
                <w:sz w:val="20"/>
                <w:szCs w:val="20"/>
                <w:lang w:val="en-GB"/>
              </w:rPr>
              <w:t xml:space="preserve">Norwegian Securities Trading Act, this must be stated. References to equivalent relevant authorisations must </w:t>
            </w:r>
            <w:r>
              <w:rPr>
                <w:sz w:val="20"/>
                <w:szCs w:val="20"/>
                <w:lang w:val="en-GB"/>
              </w:rPr>
              <w:t>be</w:t>
            </w:r>
            <w:r w:rsidRPr="007811F5">
              <w:rPr>
                <w:sz w:val="20"/>
                <w:szCs w:val="20"/>
                <w:lang w:val="en-GB"/>
              </w:rPr>
              <w:t xml:space="preserve"> provided, together with explanations of the points of difference and similarity relative to Norwegian securities legislation.</w:t>
            </w:r>
          </w:p>
        </w:tc>
      </w:tr>
      <w:tr w:rsidR="00370402" w:rsidRPr="00696EDB" w:rsidTr="000662C5">
        <w:tc>
          <w:tcPr>
            <w:tcW w:w="421" w:type="dxa"/>
            <w:tcBorders>
              <w:right w:val="single" w:sz="4" w:space="0" w:color="auto"/>
            </w:tcBorders>
          </w:tcPr>
          <w:p w:rsidR="00370402" w:rsidRPr="007811F5" w:rsidRDefault="00370402" w:rsidP="00506E2C">
            <w:pPr>
              <w:rPr>
                <w:sz w:val="20"/>
                <w:szCs w:val="20"/>
                <w:lang w:val="en-GB"/>
              </w:rPr>
            </w:pPr>
          </w:p>
        </w:tc>
        <w:tc>
          <w:tcPr>
            <w:tcW w:w="9072" w:type="dxa"/>
            <w:tcBorders>
              <w:top w:val="nil"/>
              <w:left w:val="single" w:sz="4" w:space="0" w:color="auto"/>
              <w:bottom w:val="nil"/>
              <w:right w:val="nil"/>
            </w:tcBorders>
          </w:tcPr>
          <w:p w:rsidR="00370402" w:rsidRPr="007811F5" w:rsidRDefault="00370402" w:rsidP="00506E2C">
            <w:pPr>
              <w:rPr>
                <w:sz w:val="20"/>
                <w:szCs w:val="20"/>
                <w:lang w:val="en-GB"/>
              </w:rPr>
            </w:pPr>
            <w:r w:rsidRPr="00370402">
              <w:rPr>
                <w:sz w:val="20"/>
                <w:szCs w:val="20"/>
                <w:lang w:val="en-GB"/>
              </w:rPr>
              <w:t>Information on any previous breaches of stock exchange or securities legislation or a</w:t>
            </w:r>
            <w:r>
              <w:rPr>
                <w:sz w:val="20"/>
                <w:szCs w:val="20"/>
                <w:lang w:val="en-GB"/>
              </w:rPr>
              <w:t>n</w:t>
            </w:r>
            <w:r w:rsidRPr="00370402">
              <w:rPr>
                <w:sz w:val="20"/>
                <w:szCs w:val="20"/>
                <w:lang w:val="en-GB"/>
              </w:rPr>
              <w:t xml:space="preserve"> appropriate negative statement</w:t>
            </w:r>
            <w:r>
              <w:rPr>
                <w:rFonts w:ascii="Open Sans" w:hAnsi="Open Sans" w:cs="Arial"/>
                <w:color w:val="333333"/>
                <w:sz w:val="21"/>
                <w:szCs w:val="21"/>
                <w:lang w:val="en-GB"/>
              </w:rPr>
              <w:t xml:space="preserve"> </w:t>
            </w:r>
          </w:p>
        </w:tc>
      </w:tr>
    </w:tbl>
    <w:p w:rsidR="005E564A" w:rsidRPr="00506E2C" w:rsidRDefault="005E564A" w:rsidP="00506E2C">
      <w:pPr>
        <w:rPr>
          <w:lang w:val="en-GB"/>
        </w:rPr>
      </w:pPr>
    </w:p>
    <w:sectPr w:rsidR="005E564A" w:rsidRPr="00506E2C" w:rsidSect="005E564A">
      <w:headerReference w:type="default" r:id="rId7"/>
      <w:footerReference w:type="default" r:id="rId8"/>
      <w:pgSz w:w="11906" w:h="16838" w:code="9"/>
      <w:pgMar w:top="1418" w:right="1247" w:bottom="1418" w:left="124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94" w:rsidRDefault="00ED3F94" w:rsidP="00191AD5">
      <w:r>
        <w:separator/>
      </w:r>
    </w:p>
  </w:endnote>
  <w:endnote w:type="continuationSeparator" w:id="0">
    <w:p w:rsidR="00ED3F94" w:rsidRDefault="00ED3F94" w:rsidP="0019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006604"/>
      <w:docPartObj>
        <w:docPartGallery w:val="Page Numbers (Bottom of Page)"/>
        <w:docPartUnique/>
      </w:docPartObj>
    </w:sdtPr>
    <w:sdtEndPr/>
    <w:sdtContent>
      <w:sdt>
        <w:sdtPr>
          <w:id w:val="-1769616900"/>
          <w:docPartObj>
            <w:docPartGallery w:val="Page Numbers (Top of Page)"/>
            <w:docPartUnique/>
          </w:docPartObj>
        </w:sdtPr>
        <w:sdtEndPr/>
        <w:sdtContent>
          <w:p w:rsidR="00501996" w:rsidRPr="00501996" w:rsidRDefault="00696EDB">
            <w:pPr>
              <w:pStyle w:val="Bunntekst"/>
              <w:jc w:val="right"/>
            </w:pPr>
            <w:r>
              <w:t>Page</w:t>
            </w:r>
            <w:r w:rsidR="00501996" w:rsidRPr="00501996">
              <w:t xml:space="preserve"> </w:t>
            </w:r>
            <w:r w:rsidR="00501996" w:rsidRPr="00501996">
              <w:rPr>
                <w:bCs/>
                <w:sz w:val="24"/>
                <w:szCs w:val="24"/>
              </w:rPr>
              <w:fldChar w:fldCharType="begin"/>
            </w:r>
            <w:r w:rsidR="00501996" w:rsidRPr="00501996">
              <w:rPr>
                <w:bCs/>
              </w:rPr>
              <w:instrText xml:space="preserve"> PAGE </w:instrText>
            </w:r>
            <w:r w:rsidR="00501996" w:rsidRPr="00501996">
              <w:rPr>
                <w:bCs/>
                <w:sz w:val="24"/>
                <w:szCs w:val="24"/>
              </w:rPr>
              <w:fldChar w:fldCharType="separate"/>
            </w:r>
            <w:r w:rsidR="00C5411D">
              <w:rPr>
                <w:bCs/>
                <w:noProof/>
              </w:rPr>
              <w:t>1</w:t>
            </w:r>
            <w:r w:rsidR="00501996" w:rsidRPr="00501996">
              <w:rPr>
                <w:bCs/>
                <w:sz w:val="24"/>
                <w:szCs w:val="24"/>
              </w:rPr>
              <w:fldChar w:fldCharType="end"/>
            </w:r>
            <w:r w:rsidR="00501996" w:rsidRPr="00501996">
              <w:t xml:space="preserve"> </w:t>
            </w:r>
            <w:proofErr w:type="spellStart"/>
            <w:r>
              <w:t>of</w:t>
            </w:r>
            <w:proofErr w:type="spellEnd"/>
            <w:r w:rsidR="00501996" w:rsidRPr="00501996">
              <w:t xml:space="preserve"> </w:t>
            </w:r>
            <w:r w:rsidR="00501996" w:rsidRPr="00501996">
              <w:rPr>
                <w:bCs/>
                <w:sz w:val="24"/>
                <w:szCs w:val="24"/>
              </w:rPr>
              <w:fldChar w:fldCharType="begin"/>
            </w:r>
            <w:r w:rsidR="00501996" w:rsidRPr="00501996">
              <w:rPr>
                <w:bCs/>
              </w:rPr>
              <w:instrText xml:space="preserve"> NUMPAGES  </w:instrText>
            </w:r>
            <w:r w:rsidR="00501996" w:rsidRPr="00501996">
              <w:rPr>
                <w:bCs/>
                <w:sz w:val="24"/>
                <w:szCs w:val="24"/>
              </w:rPr>
              <w:fldChar w:fldCharType="separate"/>
            </w:r>
            <w:r w:rsidR="00C5411D">
              <w:rPr>
                <w:bCs/>
                <w:noProof/>
              </w:rPr>
              <w:t>1</w:t>
            </w:r>
            <w:r w:rsidR="00501996" w:rsidRPr="00501996">
              <w:rPr>
                <w:bCs/>
                <w:sz w:val="24"/>
                <w:szCs w:val="24"/>
              </w:rPr>
              <w:fldChar w:fldCharType="end"/>
            </w:r>
          </w:p>
        </w:sdtContent>
      </w:sdt>
    </w:sdtContent>
  </w:sdt>
  <w:p w:rsidR="00501996" w:rsidRDefault="005019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94" w:rsidRDefault="00ED3F94" w:rsidP="00191AD5">
      <w:r>
        <w:separator/>
      </w:r>
    </w:p>
  </w:footnote>
  <w:footnote w:type="continuationSeparator" w:id="0">
    <w:p w:rsidR="00ED3F94" w:rsidRDefault="00ED3F94" w:rsidP="0019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6ED" w:rsidRDefault="00696EDB">
    <w:pPr>
      <w:pStyle w:val="Topptekst"/>
    </w:pPr>
    <w:r>
      <w:rPr>
        <w:noProof/>
      </w:rPr>
      <w:drawing>
        <wp:anchor distT="0" distB="0" distL="114300" distR="114300" simplePos="0" relativeHeight="251659264" behindDoc="0" locked="0" layoutInCell="1" allowOverlap="1" wp14:anchorId="421A9A4B" wp14:editId="119E0B56">
          <wp:simplePos x="0" y="0"/>
          <wp:positionH relativeFrom="column">
            <wp:posOffset>4637405</wp:posOffset>
          </wp:positionH>
          <wp:positionV relativeFrom="paragraph">
            <wp:posOffset>-450215</wp:posOffset>
          </wp:positionV>
          <wp:extent cx="2128520" cy="895985"/>
          <wp:effectExtent l="0" t="0" r="508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118_Oslo-Børs_RGB.jpg"/>
                  <pic:cNvPicPr/>
                </pic:nvPicPr>
                <pic:blipFill>
                  <a:blip r:embed="rId1">
                    <a:extLst>
                      <a:ext uri="{28A0092B-C50C-407E-A947-70E740481C1C}">
                        <a14:useLocalDpi xmlns:a14="http://schemas.microsoft.com/office/drawing/2010/main" val="0"/>
                      </a:ext>
                    </a:extLst>
                  </a:blip>
                  <a:stretch>
                    <a:fillRect/>
                  </a:stretch>
                </pic:blipFill>
                <pic:spPr>
                  <a:xfrm>
                    <a:off x="0" y="0"/>
                    <a:ext cx="2128520" cy="895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C6"/>
    <w:rsid w:val="000363C6"/>
    <w:rsid w:val="0005368D"/>
    <w:rsid w:val="000662C5"/>
    <w:rsid w:val="000700B6"/>
    <w:rsid w:val="00080DE5"/>
    <w:rsid w:val="000E523B"/>
    <w:rsid w:val="00191AD5"/>
    <w:rsid w:val="001A3E70"/>
    <w:rsid w:val="00203E09"/>
    <w:rsid w:val="002356ED"/>
    <w:rsid w:val="00257ADF"/>
    <w:rsid w:val="002B3947"/>
    <w:rsid w:val="002B5CA7"/>
    <w:rsid w:val="003270BE"/>
    <w:rsid w:val="00327BB1"/>
    <w:rsid w:val="0034157A"/>
    <w:rsid w:val="00343FB2"/>
    <w:rsid w:val="00356AAA"/>
    <w:rsid w:val="00357F2E"/>
    <w:rsid w:val="003610A5"/>
    <w:rsid w:val="00370402"/>
    <w:rsid w:val="003B3A3F"/>
    <w:rsid w:val="003E6D42"/>
    <w:rsid w:val="00445357"/>
    <w:rsid w:val="0044715A"/>
    <w:rsid w:val="00501996"/>
    <w:rsid w:val="0050293B"/>
    <w:rsid w:val="00506E2C"/>
    <w:rsid w:val="00517515"/>
    <w:rsid w:val="005376DC"/>
    <w:rsid w:val="00542C33"/>
    <w:rsid w:val="00575317"/>
    <w:rsid w:val="0058766F"/>
    <w:rsid w:val="005A0819"/>
    <w:rsid w:val="005A7FDE"/>
    <w:rsid w:val="005D5BE3"/>
    <w:rsid w:val="005E564A"/>
    <w:rsid w:val="005F7395"/>
    <w:rsid w:val="006079B2"/>
    <w:rsid w:val="00680346"/>
    <w:rsid w:val="00696EDB"/>
    <w:rsid w:val="006B6CBE"/>
    <w:rsid w:val="006D32CE"/>
    <w:rsid w:val="006F3464"/>
    <w:rsid w:val="006F7B61"/>
    <w:rsid w:val="0071744C"/>
    <w:rsid w:val="0074223A"/>
    <w:rsid w:val="00752CA9"/>
    <w:rsid w:val="00757119"/>
    <w:rsid w:val="00790DA6"/>
    <w:rsid w:val="00795E3E"/>
    <w:rsid w:val="007A5799"/>
    <w:rsid w:val="007B2A4B"/>
    <w:rsid w:val="007B32AC"/>
    <w:rsid w:val="007E0A01"/>
    <w:rsid w:val="0080398F"/>
    <w:rsid w:val="008A5DD8"/>
    <w:rsid w:val="008B02B1"/>
    <w:rsid w:val="00920442"/>
    <w:rsid w:val="009274C8"/>
    <w:rsid w:val="009876B6"/>
    <w:rsid w:val="009A1594"/>
    <w:rsid w:val="009A49A4"/>
    <w:rsid w:val="009D4790"/>
    <w:rsid w:val="009D7426"/>
    <w:rsid w:val="009E744D"/>
    <w:rsid w:val="00A22C39"/>
    <w:rsid w:val="00A24396"/>
    <w:rsid w:val="00A3504F"/>
    <w:rsid w:val="00A50CC7"/>
    <w:rsid w:val="00A70FD3"/>
    <w:rsid w:val="00A757E3"/>
    <w:rsid w:val="00B359AE"/>
    <w:rsid w:val="00B57AC1"/>
    <w:rsid w:val="00BD2934"/>
    <w:rsid w:val="00BD5E4C"/>
    <w:rsid w:val="00BF3007"/>
    <w:rsid w:val="00C01890"/>
    <w:rsid w:val="00C5411D"/>
    <w:rsid w:val="00C64371"/>
    <w:rsid w:val="00C8717B"/>
    <w:rsid w:val="00C97C11"/>
    <w:rsid w:val="00CA4294"/>
    <w:rsid w:val="00CB1398"/>
    <w:rsid w:val="00CC2475"/>
    <w:rsid w:val="00CC414C"/>
    <w:rsid w:val="00CC4F1C"/>
    <w:rsid w:val="00CC5AFB"/>
    <w:rsid w:val="00D35C39"/>
    <w:rsid w:val="00D478E3"/>
    <w:rsid w:val="00D52BDF"/>
    <w:rsid w:val="00D5463A"/>
    <w:rsid w:val="00DA3FCD"/>
    <w:rsid w:val="00E24919"/>
    <w:rsid w:val="00E753AB"/>
    <w:rsid w:val="00EA0882"/>
    <w:rsid w:val="00EA5507"/>
    <w:rsid w:val="00ED3F94"/>
    <w:rsid w:val="00ED4402"/>
    <w:rsid w:val="00EF146E"/>
    <w:rsid w:val="00F7265E"/>
    <w:rsid w:val="00F744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59EC8"/>
  <w15:chartTrackingRefBased/>
  <w15:docId w15:val="{506B21C9-323A-46EB-A7E1-A191EC25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90DA6"/>
    <w:rPr>
      <w:rFonts w:ascii="Tahoma" w:hAnsi="Tahoma" w:cs="Tahoma"/>
      <w:sz w:val="16"/>
      <w:szCs w:val="16"/>
    </w:rPr>
  </w:style>
  <w:style w:type="character" w:customStyle="1" w:styleId="BobletekstTegn">
    <w:name w:val="Bobletekst Tegn"/>
    <w:basedOn w:val="Standardskriftforavsnitt"/>
    <w:link w:val="Bobletekst"/>
    <w:uiPriority w:val="99"/>
    <w:semiHidden/>
    <w:rsid w:val="00790DA6"/>
    <w:rPr>
      <w:rFonts w:ascii="Tahoma" w:hAnsi="Tahoma" w:cs="Tahoma"/>
      <w:sz w:val="16"/>
      <w:szCs w:val="16"/>
    </w:rPr>
  </w:style>
  <w:style w:type="table" w:customStyle="1" w:styleId="OsloBrsVPS-blank">
    <w:name w:val="Oslo Børs VPS - blank"/>
    <w:basedOn w:val="Vanligtabel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Vanligtabel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Vanligtabel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Vanligtabel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Vanligtabel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Vanligtabel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Vanligtabel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Vanligtabel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Vanligtabel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Vanligtabel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Vanligtabel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Vanligtabel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Vanligtabel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Vanligtabel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Vanligtabel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Vanligtabel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Vanligtabel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Vanligtabel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Vanligtabel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Vanligtabel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Vanligtabel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paragraph" w:styleId="Fotnotetekst">
    <w:name w:val="footnote text"/>
    <w:basedOn w:val="Normal"/>
    <w:link w:val="FotnotetekstTegn"/>
    <w:uiPriority w:val="99"/>
    <w:semiHidden/>
    <w:unhideWhenUsed/>
    <w:rsid w:val="00191AD5"/>
    <w:rPr>
      <w:sz w:val="20"/>
      <w:szCs w:val="20"/>
    </w:rPr>
  </w:style>
  <w:style w:type="character" w:customStyle="1" w:styleId="FotnotetekstTegn">
    <w:name w:val="Fotnotetekst Tegn"/>
    <w:basedOn w:val="Standardskriftforavsnitt"/>
    <w:link w:val="Fotnotetekst"/>
    <w:uiPriority w:val="99"/>
    <w:semiHidden/>
    <w:rsid w:val="00191AD5"/>
    <w:rPr>
      <w:sz w:val="20"/>
      <w:szCs w:val="20"/>
    </w:rPr>
  </w:style>
  <w:style w:type="character" w:styleId="Fotnotereferanse">
    <w:name w:val="footnote reference"/>
    <w:basedOn w:val="Standardskriftforavsnitt"/>
    <w:uiPriority w:val="99"/>
    <w:semiHidden/>
    <w:unhideWhenUsed/>
    <w:rsid w:val="00191AD5"/>
    <w:rPr>
      <w:vertAlign w:val="superscript"/>
    </w:rPr>
  </w:style>
  <w:style w:type="paragraph" w:styleId="Topptekst">
    <w:name w:val="header"/>
    <w:basedOn w:val="Normal"/>
    <w:link w:val="TopptekstTegn"/>
    <w:uiPriority w:val="99"/>
    <w:unhideWhenUsed/>
    <w:rsid w:val="00501996"/>
    <w:pPr>
      <w:tabs>
        <w:tab w:val="center" w:pos="4536"/>
        <w:tab w:val="right" w:pos="9072"/>
      </w:tabs>
    </w:pPr>
  </w:style>
  <w:style w:type="character" w:customStyle="1" w:styleId="TopptekstTegn">
    <w:name w:val="Topptekst Tegn"/>
    <w:basedOn w:val="Standardskriftforavsnitt"/>
    <w:link w:val="Topptekst"/>
    <w:uiPriority w:val="99"/>
    <w:rsid w:val="00501996"/>
  </w:style>
  <w:style w:type="paragraph" w:styleId="Bunntekst">
    <w:name w:val="footer"/>
    <w:basedOn w:val="Normal"/>
    <w:link w:val="BunntekstTegn"/>
    <w:uiPriority w:val="99"/>
    <w:unhideWhenUsed/>
    <w:rsid w:val="00501996"/>
    <w:pPr>
      <w:tabs>
        <w:tab w:val="center" w:pos="4536"/>
        <w:tab w:val="right" w:pos="9072"/>
      </w:tabs>
    </w:pPr>
  </w:style>
  <w:style w:type="character" w:customStyle="1" w:styleId="BunntekstTegn">
    <w:name w:val="Bunntekst Tegn"/>
    <w:basedOn w:val="Standardskriftforavsnitt"/>
    <w:link w:val="Bunntekst"/>
    <w:uiPriority w:val="99"/>
    <w:rsid w:val="0050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5BB6-2714-43EF-A76D-8ED6F616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455</Words>
  <Characters>2414</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Bors</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Fagervik Talhaug</dc:creator>
  <cp:keywords/>
  <dc:description/>
  <cp:lastModifiedBy>Morten Isebakke Lyse</cp:lastModifiedBy>
  <cp:revision>7</cp:revision>
  <cp:lastPrinted>2013-02-27T14:14:00Z</cp:lastPrinted>
  <dcterms:created xsi:type="dcterms:W3CDTF">2017-01-08T18:21:00Z</dcterms:created>
  <dcterms:modified xsi:type="dcterms:W3CDTF">2020-08-14T06:52:00Z</dcterms:modified>
</cp:coreProperties>
</file>