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FD1" w:rsidRPr="00F67BF7" w:rsidRDefault="00834FD1" w:rsidP="00834FD1">
      <w:pPr>
        <w:pStyle w:val="ISETitleHeading"/>
        <w:spacing w:after="120"/>
        <w:rPr>
          <w:rFonts w:asciiTheme="minorHAnsi" w:hAnsiTheme="minorHAnsi"/>
        </w:rPr>
      </w:pPr>
      <w:r w:rsidRPr="00F67BF7">
        <w:rPr>
          <w:rFonts w:asciiTheme="minorHAnsi" w:hAnsiTheme="minorHAnsi"/>
        </w:rPr>
        <w:t>Li</w:t>
      </w:r>
      <w:r w:rsidR="001F6DA6" w:rsidRPr="00F67BF7">
        <w:rPr>
          <w:rFonts w:asciiTheme="minorHAnsi" w:hAnsiTheme="minorHAnsi"/>
        </w:rPr>
        <w:t xml:space="preserve">sting </w:t>
      </w:r>
      <w:r w:rsidR="004E6781" w:rsidRPr="00F67BF7">
        <w:rPr>
          <w:rFonts w:asciiTheme="minorHAnsi" w:hAnsiTheme="minorHAnsi"/>
        </w:rPr>
        <w:t>Conditions</w:t>
      </w:r>
      <w:r w:rsidR="001F6DA6" w:rsidRPr="00F67BF7">
        <w:rPr>
          <w:rFonts w:asciiTheme="minorHAnsi" w:hAnsiTheme="minorHAnsi"/>
        </w:rPr>
        <w:t xml:space="preserve"> </w:t>
      </w:r>
      <w:r w:rsidR="004E6781" w:rsidRPr="00F67BF7">
        <w:rPr>
          <w:rFonts w:asciiTheme="minorHAnsi" w:hAnsiTheme="minorHAnsi"/>
        </w:rPr>
        <w:t xml:space="preserve">– </w:t>
      </w:r>
    </w:p>
    <w:p w:rsidR="00834FD1" w:rsidRDefault="00834FD1" w:rsidP="00834FD1">
      <w:pPr>
        <w:pStyle w:val="ISETitleHeading"/>
        <w:spacing w:after="360"/>
        <w:rPr>
          <w:rFonts w:asciiTheme="minorHAnsi" w:hAnsiTheme="minorHAnsi"/>
        </w:rPr>
      </w:pPr>
      <w:r w:rsidRPr="00F67BF7">
        <w:rPr>
          <w:rFonts w:asciiTheme="minorHAnsi" w:hAnsiTheme="minorHAnsi"/>
        </w:rPr>
        <w:t xml:space="preserve">Euronext Dublin </w:t>
      </w:r>
      <w:r w:rsidR="001F6DA6" w:rsidRPr="00F67BF7">
        <w:rPr>
          <w:rFonts w:asciiTheme="minorHAnsi" w:hAnsiTheme="minorHAnsi"/>
        </w:rPr>
        <w:t>Primary</w:t>
      </w:r>
      <w:r w:rsidRPr="00F67BF7">
        <w:rPr>
          <w:rFonts w:asciiTheme="minorHAnsi" w:hAnsiTheme="minorHAnsi"/>
        </w:rPr>
        <w:t xml:space="preserve"> </w:t>
      </w:r>
      <w:r w:rsidR="001F6DA6" w:rsidRPr="00F67BF7">
        <w:rPr>
          <w:rFonts w:asciiTheme="minorHAnsi" w:hAnsiTheme="minorHAnsi"/>
        </w:rPr>
        <w:t>Checklist</w:t>
      </w:r>
    </w:p>
    <w:p w:rsidR="009E2AF0" w:rsidRPr="009E2AF0" w:rsidRDefault="009E2AF0" w:rsidP="009E2AF0">
      <w:pPr>
        <w:pStyle w:val="Heading1"/>
        <w:rPr>
          <w:rFonts w:asciiTheme="minorHAnsi" w:hAnsiTheme="minorHAnsi"/>
          <w:b/>
          <w:sz w:val="22"/>
          <w:szCs w:val="22"/>
        </w:rPr>
      </w:pPr>
      <w:r w:rsidRPr="009E2AF0">
        <w:rPr>
          <w:rFonts w:asciiTheme="minorHAnsi" w:hAnsiTheme="minorHAnsi"/>
          <w:b/>
          <w:sz w:val="22"/>
          <w:szCs w:val="22"/>
        </w:rPr>
        <w:t>(Commerci</w:t>
      </w:r>
      <w:r w:rsidR="00757748">
        <w:rPr>
          <w:rFonts w:asciiTheme="minorHAnsi" w:hAnsiTheme="minorHAnsi"/>
          <w:b/>
          <w:sz w:val="22"/>
          <w:szCs w:val="22"/>
        </w:rPr>
        <w:t xml:space="preserve">al Companies including Mineral and </w:t>
      </w:r>
      <w:r w:rsidRPr="009E2AF0">
        <w:rPr>
          <w:rFonts w:asciiTheme="minorHAnsi" w:hAnsiTheme="minorHAnsi"/>
          <w:b/>
          <w:sz w:val="22"/>
          <w:szCs w:val="22"/>
        </w:rPr>
        <w:t>Scientific Research Companies)</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A833C9" w:rsidRPr="00700EA2" w:rsidTr="00E52AD0">
        <w:trPr>
          <w:trHeight w:hRule="exact" w:val="397"/>
        </w:trPr>
        <w:tc>
          <w:tcPr>
            <w:tcW w:w="2098" w:type="dxa"/>
            <w:tcBorders>
              <w:top w:val="nil"/>
              <w:bottom w:val="single" w:sz="4" w:space="0" w:color="2E6D30"/>
            </w:tcBorders>
            <w:tcMar>
              <w:left w:w="0" w:type="dxa"/>
              <w:right w:w="0" w:type="dxa"/>
            </w:tcMar>
          </w:tcPr>
          <w:p w:rsidR="00A833C9" w:rsidRPr="00F67BF7" w:rsidRDefault="00A833C9" w:rsidP="00E41E01">
            <w:pPr>
              <w:pStyle w:val="ISEMainbodytext"/>
              <w:rPr>
                <w:rFonts w:asciiTheme="minorHAnsi" w:hAnsiTheme="minorHAnsi"/>
                <w:sz w:val="22"/>
                <w:szCs w:val="22"/>
              </w:rPr>
            </w:pPr>
            <w:r w:rsidRPr="00F67BF7">
              <w:rPr>
                <w:rFonts w:asciiTheme="minorHAnsi" w:hAnsiTheme="minorHAnsi"/>
                <w:sz w:val="22"/>
                <w:szCs w:val="22"/>
              </w:rPr>
              <w:t xml:space="preserve">Name of </w:t>
            </w:r>
            <w:r w:rsidR="00E41E01" w:rsidRPr="00F67BF7">
              <w:rPr>
                <w:rFonts w:asciiTheme="minorHAnsi" w:hAnsiTheme="minorHAnsi"/>
                <w:sz w:val="22"/>
                <w:szCs w:val="22"/>
              </w:rPr>
              <w:t>Company</w:t>
            </w:r>
          </w:p>
        </w:tc>
        <w:tc>
          <w:tcPr>
            <w:tcW w:w="6294" w:type="dxa"/>
            <w:tcBorders>
              <w:top w:val="nil"/>
              <w:bottom w:val="single" w:sz="4" w:space="0" w:color="2E6D30"/>
            </w:tcBorders>
          </w:tcPr>
          <w:p w:rsidR="00A833C9" w:rsidRPr="00F67BF7" w:rsidRDefault="00A833C9" w:rsidP="003F656E">
            <w:pPr>
              <w:pStyle w:val="ISEMainbodytextBold"/>
              <w:rPr>
                <w:rFonts w:asciiTheme="minorHAnsi" w:hAnsiTheme="minorHAnsi"/>
                <w:sz w:val="22"/>
                <w:szCs w:val="22"/>
              </w:rPr>
            </w:pPr>
            <w:r w:rsidRPr="00F67BF7">
              <w:rPr>
                <w:rFonts w:asciiTheme="minorHAnsi" w:hAnsiTheme="minorHAnsi"/>
                <w:sz w:val="22"/>
                <w:szCs w:val="22"/>
              </w:rPr>
              <w:fldChar w:fldCharType="begin">
                <w:ffData>
                  <w:name w:val="Text1"/>
                  <w:enabled/>
                  <w:calcOnExit w:val="0"/>
                  <w:textInput/>
                </w:ffData>
              </w:fldChar>
            </w:r>
            <w:r w:rsidRPr="00F67BF7">
              <w:rPr>
                <w:rFonts w:asciiTheme="minorHAnsi" w:hAnsiTheme="minorHAnsi"/>
                <w:sz w:val="22"/>
                <w:szCs w:val="22"/>
              </w:rPr>
              <w:instrText xml:space="preserve"> FORMTEXT </w:instrText>
            </w:r>
            <w:r w:rsidRPr="00F67BF7">
              <w:rPr>
                <w:rFonts w:asciiTheme="minorHAnsi" w:hAnsiTheme="minorHAnsi"/>
                <w:sz w:val="22"/>
                <w:szCs w:val="22"/>
              </w:rPr>
            </w:r>
            <w:r w:rsidRPr="00F67BF7">
              <w:rPr>
                <w:rFonts w:asciiTheme="minorHAnsi" w:hAnsiTheme="minorHAnsi"/>
                <w:sz w:val="22"/>
                <w:szCs w:val="22"/>
              </w:rPr>
              <w:fldChar w:fldCharType="separate"/>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hAnsiTheme="minorHAnsi"/>
                <w:sz w:val="22"/>
                <w:szCs w:val="22"/>
              </w:rPr>
              <w:fldChar w:fldCharType="end"/>
            </w:r>
          </w:p>
        </w:tc>
      </w:tr>
      <w:tr w:rsidR="00A833C9" w:rsidRPr="00700EA2" w:rsidTr="00E52AD0">
        <w:trPr>
          <w:trHeight w:hRule="exact" w:val="397"/>
        </w:trPr>
        <w:tc>
          <w:tcPr>
            <w:tcW w:w="2098" w:type="dxa"/>
            <w:tcBorders>
              <w:top w:val="nil"/>
              <w:bottom w:val="single" w:sz="4" w:space="0" w:color="2E6D30"/>
            </w:tcBorders>
            <w:tcMar>
              <w:left w:w="0" w:type="dxa"/>
              <w:right w:w="0" w:type="dxa"/>
            </w:tcMar>
          </w:tcPr>
          <w:p w:rsidR="00A833C9" w:rsidRPr="00F67BF7" w:rsidRDefault="00E41E01" w:rsidP="00E41E01">
            <w:pPr>
              <w:pStyle w:val="ISEMainbodytext"/>
              <w:rPr>
                <w:rFonts w:asciiTheme="minorHAnsi" w:hAnsiTheme="minorHAnsi"/>
                <w:sz w:val="22"/>
                <w:szCs w:val="22"/>
              </w:rPr>
            </w:pPr>
            <w:r w:rsidRPr="00F67BF7">
              <w:rPr>
                <w:rFonts w:asciiTheme="minorHAnsi" w:hAnsiTheme="minorHAnsi"/>
                <w:sz w:val="22"/>
                <w:szCs w:val="22"/>
                <w:lang w:val="en-US"/>
              </w:rPr>
              <w:t>Nature of Transaction</w:t>
            </w:r>
          </w:p>
        </w:tc>
        <w:tc>
          <w:tcPr>
            <w:tcW w:w="6294" w:type="dxa"/>
            <w:tcBorders>
              <w:top w:val="nil"/>
              <w:bottom w:val="single" w:sz="4" w:space="0" w:color="2E6D30"/>
            </w:tcBorders>
          </w:tcPr>
          <w:p w:rsidR="00A833C9" w:rsidRPr="00F67BF7" w:rsidRDefault="00A833C9" w:rsidP="003F656E">
            <w:pPr>
              <w:pStyle w:val="ISEMainbodytextBold"/>
              <w:rPr>
                <w:rFonts w:asciiTheme="minorHAnsi" w:hAnsiTheme="minorHAnsi"/>
                <w:sz w:val="22"/>
                <w:szCs w:val="22"/>
              </w:rPr>
            </w:pPr>
            <w:r w:rsidRPr="00F67BF7">
              <w:rPr>
                <w:rFonts w:asciiTheme="minorHAnsi" w:hAnsiTheme="minorHAnsi"/>
                <w:sz w:val="22"/>
                <w:szCs w:val="22"/>
              </w:rPr>
              <w:fldChar w:fldCharType="begin">
                <w:ffData>
                  <w:name w:val="Text1"/>
                  <w:enabled/>
                  <w:calcOnExit w:val="0"/>
                  <w:textInput/>
                </w:ffData>
              </w:fldChar>
            </w:r>
            <w:r w:rsidRPr="00F67BF7">
              <w:rPr>
                <w:rFonts w:asciiTheme="minorHAnsi" w:hAnsiTheme="minorHAnsi"/>
                <w:sz w:val="22"/>
                <w:szCs w:val="22"/>
              </w:rPr>
              <w:instrText xml:space="preserve"> FORMTEXT </w:instrText>
            </w:r>
            <w:r w:rsidRPr="00F67BF7">
              <w:rPr>
                <w:rFonts w:asciiTheme="minorHAnsi" w:hAnsiTheme="minorHAnsi"/>
                <w:sz w:val="22"/>
                <w:szCs w:val="22"/>
              </w:rPr>
            </w:r>
            <w:r w:rsidRPr="00F67BF7">
              <w:rPr>
                <w:rFonts w:asciiTheme="minorHAnsi" w:hAnsiTheme="minorHAnsi"/>
                <w:sz w:val="22"/>
                <w:szCs w:val="22"/>
              </w:rPr>
              <w:fldChar w:fldCharType="separate"/>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hAnsiTheme="minorHAnsi"/>
                <w:sz w:val="22"/>
                <w:szCs w:val="22"/>
              </w:rPr>
              <w:fldChar w:fldCharType="end"/>
            </w:r>
          </w:p>
        </w:tc>
      </w:tr>
      <w:tr w:rsidR="00A833C9" w:rsidRPr="00700EA2" w:rsidTr="00D107D5">
        <w:trPr>
          <w:trHeight w:hRule="exact" w:val="397"/>
        </w:trPr>
        <w:tc>
          <w:tcPr>
            <w:tcW w:w="2098" w:type="dxa"/>
            <w:tcBorders>
              <w:top w:val="nil"/>
              <w:bottom w:val="single" w:sz="4" w:space="0" w:color="2E6D30"/>
            </w:tcBorders>
            <w:tcMar>
              <w:left w:w="0" w:type="dxa"/>
              <w:right w:w="0" w:type="dxa"/>
            </w:tcMar>
          </w:tcPr>
          <w:p w:rsidR="00A833C9" w:rsidRPr="00F67BF7" w:rsidRDefault="00E41E01" w:rsidP="00E41E01">
            <w:pPr>
              <w:pStyle w:val="ISEMainbodytext"/>
              <w:rPr>
                <w:rFonts w:asciiTheme="minorHAnsi" w:hAnsiTheme="minorHAnsi"/>
                <w:sz w:val="22"/>
                <w:szCs w:val="22"/>
              </w:rPr>
            </w:pPr>
            <w:r w:rsidRPr="00F67BF7">
              <w:rPr>
                <w:rFonts w:asciiTheme="minorHAnsi" w:hAnsiTheme="minorHAnsi"/>
                <w:sz w:val="22"/>
                <w:szCs w:val="22"/>
                <w:lang w:val="en-US"/>
              </w:rPr>
              <w:t>Name of Sponsor</w:t>
            </w:r>
          </w:p>
        </w:tc>
        <w:tc>
          <w:tcPr>
            <w:tcW w:w="6294" w:type="dxa"/>
            <w:tcBorders>
              <w:top w:val="nil"/>
              <w:bottom w:val="single" w:sz="4" w:space="0" w:color="2E6D30"/>
            </w:tcBorders>
          </w:tcPr>
          <w:p w:rsidR="00A833C9" w:rsidRPr="00F67BF7" w:rsidRDefault="00A833C9" w:rsidP="003F656E">
            <w:pPr>
              <w:pStyle w:val="ISEMainbodytextBold"/>
              <w:rPr>
                <w:rFonts w:asciiTheme="minorHAnsi" w:hAnsiTheme="minorHAnsi"/>
                <w:sz w:val="22"/>
                <w:szCs w:val="22"/>
              </w:rPr>
            </w:pPr>
            <w:r w:rsidRPr="00F67BF7">
              <w:rPr>
                <w:rFonts w:asciiTheme="minorHAnsi" w:hAnsiTheme="minorHAnsi"/>
                <w:sz w:val="22"/>
                <w:szCs w:val="22"/>
              </w:rPr>
              <w:fldChar w:fldCharType="begin">
                <w:ffData>
                  <w:name w:val="Text1"/>
                  <w:enabled/>
                  <w:calcOnExit w:val="0"/>
                  <w:textInput/>
                </w:ffData>
              </w:fldChar>
            </w:r>
            <w:r w:rsidRPr="00F67BF7">
              <w:rPr>
                <w:rFonts w:asciiTheme="minorHAnsi" w:hAnsiTheme="minorHAnsi"/>
                <w:sz w:val="22"/>
                <w:szCs w:val="22"/>
              </w:rPr>
              <w:instrText xml:space="preserve"> FORMTEXT </w:instrText>
            </w:r>
            <w:r w:rsidRPr="00F67BF7">
              <w:rPr>
                <w:rFonts w:asciiTheme="minorHAnsi" w:hAnsiTheme="minorHAnsi"/>
                <w:sz w:val="22"/>
                <w:szCs w:val="22"/>
              </w:rPr>
            </w:r>
            <w:r w:rsidRPr="00F67BF7">
              <w:rPr>
                <w:rFonts w:asciiTheme="minorHAnsi" w:hAnsiTheme="minorHAnsi"/>
                <w:sz w:val="22"/>
                <w:szCs w:val="22"/>
              </w:rPr>
              <w:fldChar w:fldCharType="separate"/>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eastAsia="MS Mincho" w:hAnsiTheme="minorHAnsi"/>
                <w:sz w:val="22"/>
                <w:szCs w:val="22"/>
              </w:rPr>
              <w:t> </w:t>
            </w:r>
            <w:r w:rsidRPr="00F67BF7">
              <w:rPr>
                <w:rFonts w:asciiTheme="minorHAnsi" w:hAnsiTheme="minorHAnsi"/>
                <w:sz w:val="22"/>
                <w:szCs w:val="22"/>
              </w:rPr>
              <w:fldChar w:fldCharType="end"/>
            </w:r>
          </w:p>
        </w:tc>
      </w:tr>
      <w:tr w:rsidR="00A833C9" w:rsidRPr="00700EA2" w:rsidTr="00834FD1">
        <w:trPr>
          <w:trHeight w:hRule="exact" w:val="548"/>
        </w:trPr>
        <w:tc>
          <w:tcPr>
            <w:tcW w:w="2098" w:type="dxa"/>
            <w:tcBorders>
              <w:top w:val="single" w:sz="4" w:space="0" w:color="2E6D30"/>
              <w:bottom w:val="nil"/>
            </w:tcBorders>
            <w:tcMar>
              <w:left w:w="0" w:type="dxa"/>
              <w:right w:w="0" w:type="dxa"/>
            </w:tcMar>
          </w:tcPr>
          <w:p w:rsidR="00A833C9" w:rsidRPr="00F67BF7" w:rsidRDefault="00E41E01" w:rsidP="00E41E01">
            <w:pPr>
              <w:pStyle w:val="ISEMainbodytext"/>
              <w:rPr>
                <w:rFonts w:asciiTheme="minorHAnsi" w:hAnsiTheme="minorHAnsi"/>
                <w:sz w:val="22"/>
                <w:szCs w:val="22"/>
              </w:rPr>
            </w:pPr>
            <w:r w:rsidRPr="00F67BF7">
              <w:rPr>
                <w:rFonts w:asciiTheme="minorHAnsi" w:hAnsiTheme="minorHAnsi"/>
                <w:sz w:val="22"/>
                <w:szCs w:val="22"/>
                <w:lang w:val="en-US"/>
              </w:rPr>
              <w:t>Date submitted</w:t>
            </w:r>
          </w:p>
        </w:tc>
        <w:bookmarkStart w:id="0" w:name="Text1"/>
        <w:tc>
          <w:tcPr>
            <w:tcW w:w="6294" w:type="dxa"/>
            <w:tcBorders>
              <w:top w:val="single" w:sz="4" w:space="0" w:color="2E6D30"/>
              <w:bottom w:val="nil"/>
            </w:tcBorders>
          </w:tcPr>
          <w:p w:rsidR="00A833C9" w:rsidRPr="00F67BF7" w:rsidRDefault="003F656E" w:rsidP="003F656E">
            <w:pPr>
              <w:pStyle w:val="ISEMainbodytextBold"/>
              <w:rPr>
                <w:rFonts w:asciiTheme="minorHAnsi" w:hAnsiTheme="minorHAnsi"/>
                <w:sz w:val="22"/>
                <w:szCs w:val="22"/>
              </w:rPr>
            </w:pPr>
            <w:r w:rsidRPr="00F67BF7">
              <w:rPr>
                <w:rFonts w:asciiTheme="minorHAnsi" w:hAnsiTheme="minorHAnsi"/>
                <w:sz w:val="22"/>
                <w:szCs w:val="22"/>
              </w:rPr>
              <w:fldChar w:fldCharType="begin">
                <w:ffData>
                  <w:name w:val="Text1"/>
                  <w:enabled/>
                  <w:calcOnExit w:val="0"/>
                  <w:textInput>
                    <w:type w:val="date"/>
                    <w:format w:val="dd MMMM yyyy"/>
                  </w:textInput>
                </w:ffData>
              </w:fldChar>
            </w:r>
            <w:r w:rsidRPr="00F67BF7">
              <w:rPr>
                <w:rFonts w:asciiTheme="minorHAnsi" w:hAnsiTheme="minorHAnsi"/>
                <w:sz w:val="22"/>
                <w:szCs w:val="22"/>
              </w:rPr>
              <w:instrText xml:space="preserve"> FORMTEXT </w:instrText>
            </w:r>
            <w:r w:rsidRPr="00F67BF7">
              <w:rPr>
                <w:rFonts w:asciiTheme="minorHAnsi" w:hAnsiTheme="minorHAnsi"/>
                <w:sz w:val="22"/>
                <w:szCs w:val="22"/>
              </w:rPr>
            </w:r>
            <w:r w:rsidRPr="00F67BF7">
              <w:rPr>
                <w:rFonts w:asciiTheme="minorHAnsi" w:hAnsiTheme="minorHAnsi"/>
                <w:sz w:val="22"/>
                <w:szCs w:val="22"/>
              </w:rPr>
              <w:fldChar w:fldCharType="separate"/>
            </w:r>
            <w:r w:rsidRPr="00F67BF7">
              <w:rPr>
                <w:rFonts w:asciiTheme="minorHAnsi" w:eastAsia="MS Mincho" w:hAnsiTheme="minorHAnsi" w:cs="MS Mincho"/>
                <w:sz w:val="22"/>
                <w:szCs w:val="22"/>
              </w:rPr>
              <w:t> </w:t>
            </w:r>
            <w:r w:rsidRPr="00F67BF7">
              <w:rPr>
                <w:rFonts w:asciiTheme="minorHAnsi" w:eastAsia="MS Mincho" w:hAnsiTheme="minorHAnsi" w:cs="MS Mincho"/>
                <w:sz w:val="22"/>
                <w:szCs w:val="22"/>
              </w:rPr>
              <w:t> </w:t>
            </w:r>
            <w:r w:rsidRPr="00F67BF7">
              <w:rPr>
                <w:rFonts w:asciiTheme="minorHAnsi" w:eastAsia="MS Mincho" w:hAnsiTheme="minorHAnsi" w:cs="MS Mincho"/>
                <w:sz w:val="22"/>
                <w:szCs w:val="22"/>
              </w:rPr>
              <w:t> </w:t>
            </w:r>
            <w:r w:rsidRPr="00F67BF7">
              <w:rPr>
                <w:rFonts w:asciiTheme="minorHAnsi" w:eastAsia="MS Mincho" w:hAnsiTheme="minorHAnsi" w:cs="MS Mincho"/>
                <w:sz w:val="22"/>
                <w:szCs w:val="22"/>
              </w:rPr>
              <w:t> </w:t>
            </w:r>
            <w:r w:rsidRPr="00F67BF7">
              <w:rPr>
                <w:rFonts w:asciiTheme="minorHAnsi" w:eastAsia="MS Mincho" w:hAnsiTheme="minorHAnsi" w:cs="MS Mincho"/>
                <w:sz w:val="22"/>
                <w:szCs w:val="22"/>
              </w:rPr>
              <w:t> </w:t>
            </w:r>
            <w:r w:rsidRPr="00F67BF7">
              <w:rPr>
                <w:rFonts w:asciiTheme="minorHAnsi" w:hAnsiTheme="minorHAnsi"/>
                <w:sz w:val="22"/>
                <w:szCs w:val="22"/>
              </w:rPr>
              <w:fldChar w:fldCharType="end"/>
            </w:r>
            <w:bookmarkEnd w:id="0"/>
          </w:p>
        </w:tc>
      </w:tr>
      <w:tr w:rsidR="00C6522E" w:rsidRPr="00700EA2" w:rsidTr="007A3804">
        <w:trPr>
          <w:trHeight w:hRule="exact" w:val="408"/>
        </w:trPr>
        <w:tc>
          <w:tcPr>
            <w:tcW w:w="8392" w:type="dxa"/>
            <w:gridSpan w:val="2"/>
            <w:tcBorders>
              <w:top w:val="nil"/>
              <w:bottom w:val="nil"/>
            </w:tcBorders>
            <w:tcMar>
              <w:left w:w="0" w:type="dxa"/>
              <w:right w:w="0" w:type="dxa"/>
            </w:tcMar>
          </w:tcPr>
          <w:p w:rsidR="00C6522E" w:rsidRPr="00F67BF7" w:rsidRDefault="00C6522E" w:rsidP="007A3804">
            <w:pPr>
              <w:pStyle w:val="ISESubheading"/>
              <w:rPr>
                <w:rFonts w:asciiTheme="minorHAnsi" w:hAnsiTheme="minorHAnsi"/>
                <w:sz w:val="22"/>
                <w:szCs w:val="22"/>
              </w:rPr>
            </w:pPr>
          </w:p>
        </w:tc>
      </w:tr>
    </w:tbl>
    <w:p w:rsidR="00307B2F" w:rsidRDefault="00307B2F" w:rsidP="00C6522E">
      <w:pPr>
        <w:pStyle w:val="ISEMainbodytext"/>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134"/>
        <w:gridCol w:w="2835"/>
        <w:gridCol w:w="851"/>
        <w:gridCol w:w="992"/>
        <w:gridCol w:w="2580"/>
      </w:tblGrid>
      <w:tr w:rsidR="00C6522E" w:rsidRPr="0022342B" w:rsidTr="00345BEB">
        <w:trPr>
          <w:trHeight w:val="397"/>
          <w:tblHeader/>
        </w:trPr>
        <w:tc>
          <w:tcPr>
            <w:tcW w:w="1134" w:type="dxa"/>
            <w:tcBorders>
              <w:top w:val="nil"/>
              <w:bottom w:val="single" w:sz="4" w:space="0" w:color="2E6D30"/>
              <w:right w:val="single" w:sz="4" w:space="0" w:color="2E6D30"/>
            </w:tcBorders>
            <w:tcMar>
              <w:left w:w="0" w:type="dxa"/>
              <w:right w:w="0" w:type="dxa"/>
            </w:tcMar>
          </w:tcPr>
          <w:p w:rsidR="00C6522E" w:rsidRPr="00F67BF7" w:rsidRDefault="00C6522E" w:rsidP="007A3804">
            <w:pPr>
              <w:pStyle w:val="ISETableColumnHeading"/>
              <w:rPr>
                <w:rFonts w:ascii="Calibri" w:hAnsi="Calibri"/>
                <w:sz w:val="22"/>
                <w:szCs w:val="22"/>
              </w:rPr>
            </w:pPr>
            <w:r w:rsidRPr="00F67BF7">
              <w:rPr>
                <w:rFonts w:ascii="Calibri" w:hAnsi="Calibri"/>
                <w:sz w:val="22"/>
                <w:szCs w:val="22"/>
              </w:rPr>
              <w:t>Rule</w:t>
            </w:r>
          </w:p>
        </w:tc>
        <w:tc>
          <w:tcPr>
            <w:tcW w:w="2835" w:type="dxa"/>
            <w:tcBorders>
              <w:top w:val="nil"/>
              <w:left w:val="single" w:sz="4" w:space="0" w:color="2E6D30"/>
              <w:bottom w:val="single" w:sz="4" w:space="0" w:color="2E6D30"/>
              <w:right w:val="single" w:sz="4" w:space="0" w:color="2E6D30"/>
            </w:tcBorders>
          </w:tcPr>
          <w:p w:rsidR="00C6522E" w:rsidRPr="00F67BF7" w:rsidRDefault="00C6522E" w:rsidP="007A3804">
            <w:pPr>
              <w:pStyle w:val="ISETableColumnHeading"/>
              <w:rPr>
                <w:rFonts w:ascii="Calibri" w:hAnsi="Calibri"/>
                <w:sz w:val="22"/>
                <w:szCs w:val="22"/>
              </w:rPr>
            </w:pPr>
            <w:r w:rsidRPr="00F67BF7">
              <w:rPr>
                <w:rFonts w:ascii="Calibri" w:hAnsi="Calibri"/>
                <w:sz w:val="22"/>
                <w:szCs w:val="22"/>
              </w:rPr>
              <w:t>Requirement</w:t>
            </w:r>
          </w:p>
        </w:tc>
        <w:tc>
          <w:tcPr>
            <w:tcW w:w="851" w:type="dxa"/>
            <w:tcBorders>
              <w:top w:val="nil"/>
              <w:left w:val="single" w:sz="4" w:space="0" w:color="2E6D30"/>
              <w:bottom w:val="single" w:sz="4" w:space="0" w:color="2E6D30"/>
              <w:right w:val="single" w:sz="4" w:space="0" w:color="2E6D30"/>
            </w:tcBorders>
          </w:tcPr>
          <w:p w:rsidR="00C6522E" w:rsidRPr="00F67BF7" w:rsidRDefault="00C6522E" w:rsidP="007A3804">
            <w:pPr>
              <w:pStyle w:val="ISETableColumnHeading"/>
              <w:rPr>
                <w:rFonts w:ascii="Calibri" w:hAnsi="Calibri"/>
                <w:sz w:val="22"/>
                <w:szCs w:val="22"/>
              </w:rPr>
            </w:pPr>
            <w:r w:rsidRPr="00F67BF7">
              <w:rPr>
                <w:rFonts w:ascii="Calibri" w:hAnsi="Calibri"/>
                <w:sz w:val="22"/>
                <w:szCs w:val="22"/>
              </w:rPr>
              <w:t>Page</w:t>
            </w:r>
          </w:p>
        </w:tc>
        <w:tc>
          <w:tcPr>
            <w:tcW w:w="992" w:type="dxa"/>
            <w:tcBorders>
              <w:top w:val="nil"/>
              <w:left w:val="single" w:sz="4" w:space="0" w:color="2E6D30"/>
              <w:bottom w:val="single" w:sz="4" w:space="0" w:color="2E6D30"/>
              <w:right w:val="single" w:sz="4" w:space="0" w:color="2E6D30"/>
            </w:tcBorders>
          </w:tcPr>
          <w:p w:rsidR="00C6522E" w:rsidRPr="00F67BF7" w:rsidRDefault="00C6522E" w:rsidP="007A3804">
            <w:pPr>
              <w:pStyle w:val="ISETableColumnHeading"/>
              <w:rPr>
                <w:rFonts w:ascii="Calibri" w:hAnsi="Calibri"/>
                <w:sz w:val="22"/>
                <w:szCs w:val="22"/>
              </w:rPr>
            </w:pPr>
            <w:r w:rsidRPr="00F67BF7">
              <w:rPr>
                <w:rFonts w:ascii="Calibri" w:hAnsi="Calibri"/>
                <w:sz w:val="22"/>
                <w:szCs w:val="22"/>
              </w:rPr>
              <w:t>Proof number</w:t>
            </w:r>
          </w:p>
        </w:tc>
        <w:tc>
          <w:tcPr>
            <w:tcW w:w="2580" w:type="dxa"/>
            <w:tcBorders>
              <w:top w:val="nil"/>
              <w:left w:val="single" w:sz="4" w:space="0" w:color="2E6D30"/>
              <w:bottom w:val="single" w:sz="4" w:space="0" w:color="2E6D30"/>
            </w:tcBorders>
          </w:tcPr>
          <w:p w:rsidR="00C6522E" w:rsidRPr="00F67BF7" w:rsidRDefault="00C6522E" w:rsidP="007A3804">
            <w:pPr>
              <w:pStyle w:val="ISETableColumnHeading"/>
              <w:rPr>
                <w:rFonts w:ascii="Calibri" w:hAnsi="Calibri"/>
                <w:sz w:val="22"/>
                <w:szCs w:val="22"/>
              </w:rPr>
            </w:pPr>
            <w:r w:rsidRPr="00F67BF7">
              <w:rPr>
                <w:rFonts w:ascii="Calibri" w:hAnsi="Calibri"/>
                <w:sz w:val="22"/>
                <w:szCs w:val="22"/>
              </w:rPr>
              <w:t xml:space="preserve">Comment </w:t>
            </w:r>
            <w:r w:rsidRPr="00F67BF7">
              <w:rPr>
                <w:rFonts w:ascii="Calibri" w:hAnsi="Calibri"/>
                <w:sz w:val="22"/>
                <w:szCs w:val="22"/>
              </w:rPr>
              <w:br/>
              <w:t>(where applicable)</w:t>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Del="00CF34BE" w:rsidRDefault="007B7ECF" w:rsidP="004E6781">
            <w:pPr>
              <w:pStyle w:val="ISEMainbodytext"/>
              <w:rPr>
                <w:rFonts w:ascii="Calibri" w:hAnsi="Calibri"/>
                <w:b/>
                <w:sz w:val="22"/>
                <w:szCs w:val="22"/>
              </w:rPr>
            </w:pPr>
            <w:r w:rsidRPr="00F67BF7">
              <w:rPr>
                <w:rFonts w:ascii="Calibri" w:hAnsi="Calibri"/>
                <w:b/>
                <w:sz w:val="22"/>
                <w:szCs w:val="22"/>
              </w:rPr>
              <w:t xml:space="preserve">Rule 6.2 Book 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Del="00CF34BE" w:rsidRDefault="007B7ECF" w:rsidP="004E6781">
            <w:pPr>
              <w:pStyle w:val="ISEMainbodytext"/>
              <w:rPr>
                <w:rFonts w:ascii="Calibri" w:hAnsi="Calibri"/>
                <w:sz w:val="22"/>
                <w:szCs w:val="22"/>
              </w:rPr>
            </w:pP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4E6781">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4E6781">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rsidR="007B7ECF" w:rsidRPr="00F67BF7" w:rsidRDefault="007B7ECF" w:rsidP="004E6781">
            <w:pPr>
              <w:pStyle w:val="ISEMainbodytext"/>
              <w:rPr>
                <w:rFonts w:ascii="Calibri" w:hAnsi="Calibri"/>
                <w:sz w:val="22"/>
                <w:szCs w:val="22"/>
              </w:rPr>
            </w:pP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F67BF7">
            <w:pPr>
              <w:pStyle w:val="ISEMainbodytext"/>
              <w:rPr>
                <w:rFonts w:ascii="Calibri" w:hAnsi="Calibri"/>
                <w:sz w:val="22"/>
                <w:szCs w:val="22"/>
              </w:rPr>
            </w:pPr>
            <w:r w:rsidRPr="00F67BF7">
              <w:rPr>
                <w:rFonts w:ascii="Calibri" w:hAnsi="Calibri"/>
                <w:sz w:val="22"/>
                <w:szCs w:val="22"/>
              </w:rPr>
              <w:t xml:space="preserve">6201(i)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Legal form of issuer must be in accordance with laws and regulations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6201(ii)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Issuer must comply with any relevant competent authority</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6201(iii)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Adequate procedures for clearing and settlement</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6201 (iv)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ISIN and LEI</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6202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Securities of same class have identical rights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6203</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Securities validly issued</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6204</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Form of securities comply with national regulations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6205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Securities traded in a fair, orderly and efficient manner and are freely negotiable</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6206(i)(ii)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Underlying securities are traded or will be traded on a regulated market or equivalent</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lastRenderedPageBreak/>
              <w:t>6207</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Whole class to be listed</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b/>
                <w:sz w:val="22"/>
                <w:szCs w:val="22"/>
              </w:rPr>
            </w:pPr>
            <w:r w:rsidRPr="00F67BF7">
              <w:rPr>
                <w:rFonts w:ascii="Calibri" w:hAnsi="Calibri"/>
                <w:b/>
                <w:sz w:val="22"/>
                <w:szCs w:val="22"/>
              </w:rPr>
              <w:t>Rule 2.1 Book II</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p>
        </w:tc>
        <w:tc>
          <w:tcPr>
            <w:tcW w:w="851" w:type="dxa"/>
            <w:tcBorders>
              <w:top w:val="single" w:sz="4" w:space="0" w:color="2E6D30"/>
              <w:left w:val="single" w:sz="4" w:space="0" w:color="2E6D30"/>
              <w:bottom w:val="single" w:sz="4" w:space="0" w:color="2E6D30"/>
              <w:right w:val="single" w:sz="4" w:space="0" w:color="2E6D30"/>
            </w:tcBorders>
          </w:tcPr>
          <w:p w:rsidR="007B7ECF" w:rsidRPr="00651481" w:rsidRDefault="007B7ECF" w:rsidP="007B7ECF">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rsidR="007B7ECF" w:rsidRPr="00651481" w:rsidRDefault="007B7ECF" w:rsidP="007B7ECF">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rsidR="007B7ECF" w:rsidRPr="00651481" w:rsidRDefault="007B7ECF" w:rsidP="007B7ECF">
            <w:pPr>
              <w:pStyle w:val="ISEMainbodytext"/>
              <w:rPr>
                <w:rFonts w:ascii="Calibri" w:hAnsi="Calibri"/>
                <w:sz w:val="22"/>
                <w:szCs w:val="22"/>
              </w:rPr>
            </w:pP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F67BF7">
            <w:pPr>
              <w:pStyle w:val="ISEMainbodytext"/>
              <w:rPr>
                <w:rFonts w:ascii="Calibri" w:hAnsi="Calibri"/>
                <w:sz w:val="22"/>
                <w:szCs w:val="22"/>
              </w:rPr>
            </w:pPr>
            <w:r w:rsidRPr="00F67BF7">
              <w:rPr>
                <w:rFonts w:ascii="Calibri" w:hAnsi="Calibri"/>
                <w:sz w:val="22"/>
                <w:szCs w:val="22"/>
              </w:rPr>
              <w:t xml:space="preserve">2.1.3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Operating in conformity </w:t>
            </w:r>
            <w:r w:rsidRPr="00F67BF7">
              <w:rPr>
                <w:rFonts w:ascii="Calibri" w:hAnsi="Calibri"/>
                <w:sz w:val="22"/>
                <w:szCs w:val="22"/>
              </w:rPr>
              <w:br/>
              <w:t>with constitutional documents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F67BF7">
            <w:pPr>
              <w:pStyle w:val="ISEMainbodytext"/>
              <w:rPr>
                <w:rFonts w:ascii="Calibri" w:hAnsi="Calibri"/>
                <w:sz w:val="22"/>
                <w:szCs w:val="22"/>
              </w:rPr>
            </w:pPr>
            <w:r w:rsidRPr="00F67BF7">
              <w:rPr>
                <w:rFonts w:ascii="Calibri" w:hAnsi="Calibri"/>
                <w:sz w:val="22"/>
                <w:szCs w:val="22"/>
              </w:rPr>
              <w:t xml:space="preserve">2.1.4(1)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Admitted on RIE</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Del="006F7A01" w:rsidRDefault="007B7ECF" w:rsidP="00F67BF7">
            <w:pPr>
              <w:pStyle w:val="ISEMainbodytext"/>
              <w:rPr>
                <w:rFonts w:ascii="Calibri" w:hAnsi="Calibri"/>
                <w:sz w:val="22"/>
                <w:szCs w:val="22"/>
              </w:rPr>
            </w:pPr>
            <w:r w:rsidRPr="00F67BF7">
              <w:rPr>
                <w:rFonts w:ascii="Calibri" w:hAnsi="Calibri"/>
                <w:sz w:val="22"/>
                <w:szCs w:val="22"/>
              </w:rPr>
              <w:t xml:space="preserve">2.1.4(2)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Compliance with stock exchange where securities admitted to trading </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2.1.5(2)</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Fully paid</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2.1.8(1)</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Minimum market capitalisation</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2.1.10(2)</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Prospectus approved by </w:t>
            </w:r>
            <w:r w:rsidRPr="00F67BF7">
              <w:rPr>
                <w:rFonts w:ascii="Calibri" w:hAnsi="Calibri"/>
                <w:sz w:val="22"/>
                <w:szCs w:val="22"/>
              </w:rPr>
              <w:br/>
              <w:t>Member State and published</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2.1.11(1</w:t>
            </w:r>
            <w:r w:rsidR="0068030E">
              <w:rPr>
                <w:rFonts w:ascii="Calibri" w:hAnsi="Calibri"/>
                <w:sz w:val="22"/>
                <w:szCs w:val="22"/>
              </w:rPr>
              <w:t>)</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Convertible into listed securities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2.1.11(2)(3)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Convertible into recognised </w:t>
            </w:r>
            <w:r w:rsidRPr="00F67BF7">
              <w:rPr>
                <w:rFonts w:ascii="Calibri" w:hAnsi="Calibri"/>
                <w:sz w:val="22"/>
                <w:szCs w:val="22"/>
              </w:rPr>
              <w:br/>
              <w:t>market securities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2.1.13</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Warrants or options to subscribe</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Del="001E2340" w:rsidRDefault="007B7ECF" w:rsidP="007B7ECF">
            <w:pPr>
              <w:pStyle w:val="ISEMainbodytext"/>
              <w:rPr>
                <w:rFonts w:ascii="Calibri" w:hAnsi="Calibri"/>
                <w:b/>
                <w:sz w:val="22"/>
                <w:szCs w:val="22"/>
              </w:rPr>
            </w:pPr>
            <w:r w:rsidRPr="00F67BF7">
              <w:rPr>
                <w:rFonts w:ascii="Calibri" w:hAnsi="Calibri"/>
                <w:b/>
                <w:sz w:val="22"/>
                <w:szCs w:val="22"/>
              </w:rPr>
              <w:t xml:space="preserve">Rule 6.3 Book 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F67BF7">
            <w:pPr>
              <w:pStyle w:val="ISEMainbodytext"/>
              <w:rPr>
                <w:rFonts w:ascii="Calibri" w:hAnsi="Calibri"/>
                <w:sz w:val="22"/>
                <w:szCs w:val="22"/>
              </w:rPr>
            </w:pPr>
            <w:r w:rsidRPr="00F67BF7">
              <w:rPr>
                <w:rFonts w:ascii="Calibri" w:hAnsi="Calibri"/>
                <w:sz w:val="22"/>
                <w:szCs w:val="22"/>
              </w:rPr>
              <w:t xml:space="preserve">6302/1(ii)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Accounts for three years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F67BF7">
            <w:pPr>
              <w:pStyle w:val="ISEMainbodytext"/>
              <w:rPr>
                <w:rFonts w:ascii="Calibri" w:hAnsi="Calibri"/>
                <w:sz w:val="22"/>
                <w:szCs w:val="22"/>
              </w:rPr>
            </w:pPr>
            <w:r w:rsidRPr="00F67BF7">
              <w:rPr>
                <w:rFonts w:ascii="Calibri" w:hAnsi="Calibri"/>
                <w:sz w:val="22"/>
                <w:szCs w:val="22"/>
              </w:rPr>
              <w:t xml:space="preserve">6302/1(ii)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Accounts consolidated</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cantSplit/>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6302/1(ii)</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IFRS accounting standards or equivalent</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cantSplit/>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7B7ECF">
            <w:pPr>
              <w:pStyle w:val="ISEMainbodytext"/>
              <w:rPr>
                <w:rFonts w:ascii="Calibri" w:hAnsi="Calibri"/>
                <w:b/>
                <w:sz w:val="22"/>
                <w:szCs w:val="22"/>
              </w:rPr>
            </w:pPr>
            <w:r w:rsidRPr="00F67BF7">
              <w:rPr>
                <w:rFonts w:ascii="Calibri" w:hAnsi="Calibri"/>
                <w:b/>
                <w:sz w:val="22"/>
                <w:szCs w:val="22"/>
              </w:rPr>
              <w:t>Rule 2.2 Book II</w:t>
            </w:r>
          </w:p>
        </w:tc>
        <w:tc>
          <w:tcPr>
            <w:tcW w:w="2835" w:type="dxa"/>
            <w:tcBorders>
              <w:top w:val="single" w:sz="4" w:space="0" w:color="2E6D30"/>
              <w:left w:val="single" w:sz="4" w:space="0" w:color="2E6D30"/>
              <w:bottom w:val="nil"/>
              <w:right w:val="single" w:sz="4" w:space="0" w:color="2E6D30"/>
            </w:tcBorders>
          </w:tcPr>
          <w:p w:rsidR="007B7ECF" w:rsidRPr="00F67BF7" w:rsidDel="006F7A01" w:rsidRDefault="007B7ECF" w:rsidP="007B7ECF">
            <w:pPr>
              <w:pStyle w:val="ISEMainbodytext"/>
              <w:rPr>
                <w:rFonts w:ascii="Calibri" w:hAnsi="Calibri"/>
                <w:sz w:val="22"/>
                <w:szCs w:val="22"/>
              </w:rPr>
            </w:pP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p>
        </w:tc>
      </w:tr>
      <w:tr w:rsidR="007B7ECF" w:rsidRPr="00700EA2" w:rsidTr="00345BEB">
        <w:trPr>
          <w:cantSplit/>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F67BF7">
            <w:pPr>
              <w:pStyle w:val="ISEMainbodytext"/>
              <w:rPr>
                <w:rFonts w:ascii="Calibri" w:hAnsi="Calibri"/>
                <w:sz w:val="22"/>
                <w:szCs w:val="22"/>
              </w:rPr>
            </w:pPr>
            <w:r w:rsidRPr="00F67BF7">
              <w:rPr>
                <w:rFonts w:ascii="Calibri" w:hAnsi="Calibri"/>
                <w:sz w:val="22"/>
                <w:szCs w:val="22"/>
              </w:rPr>
              <w:t xml:space="preserve">2.2.4(1)(a) </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6/9 month rule</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2.2.4(1)(b) </w:t>
            </w:r>
          </w:p>
        </w:tc>
        <w:tc>
          <w:tcPr>
            <w:tcW w:w="2835"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Audited without modification</w:t>
            </w:r>
            <w:r w:rsidR="00295F8B">
              <w:rPr>
                <w:rFonts w:ascii="Calibri" w:hAnsi="Calibri"/>
                <w:sz w:val="22"/>
                <w:szCs w:val="22"/>
              </w:rPr>
              <w:t xml:space="preserve"> (unless </w:t>
            </w:r>
            <w:r w:rsidR="00D51C15">
              <w:rPr>
                <w:rFonts w:ascii="Calibri" w:hAnsi="Calibri"/>
                <w:sz w:val="22"/>
                <w:szCs w:val="22"/>
              </w:rPr>
              <w:t xml:space="preserve">LR </w:t>
            </w:r>
            <w:r w:rsidR="00295F8B">
              <w:rPr>
                <w:rFonts w:ascii="Calibri" w:hAnsi="Calibri"/>
                <w:sz w:val="22"/>
                <w:szCs w:val="22"/>
              </w:rPr>
              <w:t xml:space="preserve">2.2.5 </w:t>
            </w:r>
            <w:r w:rsidR="00D51C15">
              <w:rPr>
                <w:rFonts w:ascii="Calibri" w:hAnsi="Calibri"/>
                <w:sz w:val="22"/>
                <w:szCs w:val="22"/>
              </w:rPr>
              <w:t xml:space="preserve">or LR 10.6.18 </w:t>
            </w:r>
            <w:r w:rsidR="00295F8B">
              <w:rPr>
                <w:rFonts w:ascii="Calibri" w:hAnsi="Calibri"/>
                <w:sz w:val="22"/>
                <w:szCs w:val="22"/>
              </w:rPr>
              <w:t>applies)</w:t>
            </w:r>
          </w:p>
        </w:tc>
        <w:tc>
          <w:tcPr>
            <w:tcW w:w="851"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2.2.4(2)(a) </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Independent auditors providing opinion</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2.2.4(2)(b) </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Auditors confirmation </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7B7ECF" w:rsidRPr="00F67BF7" w:rsidDel="001441FD" w:rsidRDefault="007B7ECF" w:rsidP="007B7ECF">
            <w:pPr>
              <w:pStyle w:val="ISEMainbodytext"/>
              <w:rPr>
                <w:rFonts w:ascii="Calibri" w:hAnsi="Calibri"/>
                <w:sz w:val="22"/>
                <w:szCs w:val="22"/>
              </w:rPr>
            </w:pPr>
            <w:r w:rsidRPr="00F67BF7">
              <w:rPr>
                <w:rFonts w:ascii="Calibri" w:hAnsi="Calibri"/>
                <w:sz w:val="22"/>
                <w:szCs w:val="22"/>
              </w:rPr>
              <w:t>2.2.</w:t>
            </w:r>
            <w:r w:rsidR="0068030E" w:rsidRPr="00F67BF7">
              <w:rPr>
                <w:rFonts w:ascii="Calibri" w:hAnsi="Calibri"/>
                <w:sz w:val="22"/>
                <w:szCs w:val="22"/>
              </w:rPr>
              <w:t>6</w:t>
            </w:r>
            <w:r w:rsidR="00D51C15">
              <w:rPr>
                <w:rFonts w:ascii="Calibri" w:hAnsi="Calibri"/>
                <w:sz w:val="22"/>
                <w:szCs w:val="22"/>
              </w:rPr>
              <w:t xml:space="preserve"> (1)</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75% of business</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D51C15"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D51C15" w:rsidRPr="00F67BF7" w:rsidRDefault="00D51C15" w:rsidP="007B7ECF">
            <w:pPr>
              <w:pStyle w:val="ISEMainbodytext"/>
              <w:rPr>
                <w:rFonts w:ascii="Calibri" w:hAnsi="Calibri"/>
                <w:sz w:val="22"/>
                <w:szCs w:val="22"/>
              </w:rPr>
            </w:pPr>
            <w:r>
              <w:rPr>
                <w:rFonts w:ascii="Calibri" w:hAnsi="Calibri"/>
                <w:sz w:val="22"/>
                <w:szCs w:val="22"/>
              </w:rPr>
              <w:lastRenderedPageBreak/>
              <w:t xml:space="preserve">2.2.6 (2) </w:t>
            </w:r>
          </w:p>
        </w:tc>
        <w:tc>
          <w:tcPr>
            <w:tcW w:w="2835" w:type="dxa"/>
            <w:tcBorders>
              <w:top w:val="single" w:sz="4" w:space="0" w:color="2E6D30"/>
              <w:left w:val="single" w:sz="4" w:space="0" w:color="2E6D30"/>
              <w:bottom w:val="nil"/>
              <w:right w:val="single" w:sz="4" w:space="0" w:color="2E6D30"/>
            </w:tcBorders>
          </w:tcPr>
          <w:p w:rsidR="00D51C15" w:rsidRPr="00F67BF7" w:rsidRDefault="00D51C15" w:rsidP="007B7ECF">
            <w:pPr>
              <w:pStyle w:val="ISEMainbodytext"/>
              <w:rPr>
                <w:rFonts w:ascii="Calibri" w:hAnsi="Calibri"/>
                <w:sz w:val="22"/>
                <w:szCs w:val="22"/>
              </w:rPr>
            </w:pPr>
            <w:r>
              <w:rPr>
                <w:rFonts w:ascii="Calibri" w:hAnsi="Calibri"/>
                <w:sz w:val="22"/>
                <w:szCs w:val="22"/>
              </w:rPr>
              <w:t xml:space="preserve">Put investors in a position to make informed assessment </w:t>
            </w:r>
          </w:p>
        </w:tc>
        <w:tc>
          <w:tcPr>
            <w:tcW w:w="851"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D51C15"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D51C15" w:rsidRPr="00F67BF7" w:rsidRDefault="00D51C15" w:rsidP="007B7ECF">
            <w:pPr>
              <w:pStyle w:val="ISEMainbodytext"/>
              <w:rPr>
                <w:rFonts w:ascii="Calibri" w:hAnsi="Calibri"/>
                <w:sz w:val="22"/>
                <w:szCs w:val="22"/>
              </w:rPr>
            </w:pPr>
            <w:r>
              <w:rPr>
                <w:rFonts w:ascii="Calibri" w:hAnsi="Calibri"/>
                <w:sz w:val="22"/>
                <w:szCs w:val="22"/>
              </w:rPr>
              <w:t>2.2.8 (1)</w:t>
            </w:r>
          </w:p>
        </w:tc>
        <w:tc>
          <w:tcPr>
            <w:tcW w:w="2835" w:type="dxa"/>
            <w:tcBorders>
              <w:top w:val="single" w:sz="4" w:space="0" w:color="2E6D30"/>
              <w:left w:val="single" w:sz="4" w:space="0" w:color="2E6D30"/>
              <w:bottom w:val="nil"/>
              <w:right w:val="single" w:sz="4" w:space="0" w:color="2E6D30"/>
            </w:tcBorders>
          </w:tcPr>
          <w:p w:rsidR="00D51C15" w:rsidRPr="001B5A40" w:rsidRDefault="00D51C15" w:rsidP="007B7ECF">
            <w:pPr>
              <w:pStyle w:val="ISEMainbodytext"/>
              <w:rPr>
                <w:rFonts w:asciiTheme="minorHAnsi" w:hAnsiTheme="minorHAnsi" w:cstheme="minorHAnsi"/>
                <w:sz w:val="22"/>
                <w:szCs w:val="22"/>
              </w:rPr>
            </w:pPr>
            <w:r w:rsidRPr="001B5A40">
              <w:rPr>
                <w:rFonts w:asciiTheme="minorHAnsi" w:hAnsiTheme="minorHAnsi" w:cstheme="minorHAnsi"/>
                <w:sz w:val="22"/>
                <w:szCs w:val="22"/>
              </w:rPr>
              <w:t>Historical financial information related to acquired entities for 3 years</w:t>
            </w:r>
          </w:p>
        </w:tc>
        <w:tc>
          <w:tcPr>
            <w:tcW w:w="851"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D51C15"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D51C15" w:rsidRDefault="00D51C15" w:rsidP="007B7ECF">
            <w:pPr>
              <w:pStyle w:val="ISEMainbodytext"/>
              <w:rPr>
                <w:rFonts w:ascii="Calibri" w:hAnsi="Calibri"/>
                <w:sz w:val="22"/>
                <w:szCs w:val="22"/>
              </w:rPr>
            </w:pPr>
            <w:r>
              <w:rPr>
                <w:rFonts w:ascii="Calibri" w:hAnsi="Calibri"/>
                <w:sz w:val="22"/>
                <w:szCs w:val="22"/>
              </w:rPr>
              <w:t>2.2.8(2)</w:t>
            </w:r>
          </w:p>
        </w:tc>
        <w:tc>
          <w:tcPr>
            <w:tcW w:w="2835" w:type="dxa"/>
            <w:tcBorders>
              <w:top w:val="single" w:sz="4" w:space="0" w:color="2E6D30"/>
              <w:left w:val="single" w:sz="4" w:space="0" w:color="2E6D30"/>
              <w:bottom w:val="nil"/>
              <w:right w:val="single" w:sz="4" w:space="0" w:color="2E6D30"/>
            </w:tcBorders>
          </w:tcPr>
          <w:p w:rsidR="00D51C15" w:rsidRPr="001B5A40" w:rsidRDefault="00D51C15" w:rsidP="007B7ECF">
            <w:pPr>
              <w:pStyle w:val="ISEMainbodytext"/>
              <w:rPr>
                <w:rFonts w:asciiTheme="minorHAnsi" w:hAnsiTheme="minorHAnsi" w:cstheme="minorHAnsi"/>
                <w:sz w:val="22"/>
                <w:szCs w:val="22"/>
              </w:rPr>
            </w:pPr>
            <w:r w:rsidRPr="001B5A40">
              <w:rPr>
                <w:rFonts w:asciiTheme="minorHAnsi" w:hAnsiTheme="minorHAnsi" w:cstheme="minorHAnsi"/>
                <w:sz w:val="22"/>
                <w:szCs w:val="22"/>
              </w:rPr>
              <w:t>Consistent with accounting policies adopted</w:t>
            </w:r>
          </w:p>
        </w:tc>
        <w:tc>
          <w:tcPr>
            <w:tcW w:w="851"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D51C15" w:rsidRPr="00D51C15" w:rsidTr="00345BEB">
        <w:trPr>
          <w:trHeight w:val="397"/>
        </w:trPr>
        <w:tc>
          <w:tcPr>
            <w:tcW w:w="1134" w:type="dxa"/>
            <w:tcBorders>
              <w:top w:val="single" w:sz="4" w:space="0" w:color="2E6D30"/>
              <w:bottom w:val="nil"/>
              <w:right w:val="single" w:sz="4" w:space="0" w:color="2E6D30"/>
            </w:tcBorders>
            <w:tcMar>
              <w:left w:w="0" w:type="dxa"/>
              <w:right w:w="0" w:type="dxa"/>
            </w:tcMar>
          </w:tcPr>
          <w:p w:rsidR="00D51C15" w:rsidRDefault="00D51C15" w:rsidP="007B7ECF">
            <w:pPr>
              <w:pStyle w:val="ISEMainbodytext"/>
              <w:rPr>
                <w:rFonts w:ascii="Calibri" w:hAnsi="Calibri"/>
                <w:sz w:val="22"/>
                <w:szCs w:val="22"/>
              </w:rPr>
            </w:pPr>
            <w:r>
              <w:rPr>
                <w:rFonts w:ascii="Calibri" w:hAnsi="Calibri"/>
                <w:sz w:val="22"/>
                <w:szCs w:val="22"/>
              </w:rPr>
              <w:t>2.2.8(3)</w:t>
            </w:r>
          </w:p>
        </w:tc>
        <w:tc>
          <w:tcPr>
            <w:tcW w:w="2835" w:type="dxa"/>
            <w:tcBorders>
              <w:top w:val="single" w:sz="4" w:space="0" w:color="2E6D30"/>
              <w:left w:val="single" w:sz="4" w:space="0" w:color="2E6D30"/>
              <w:bottom w:val="nil"/>
              <w:right w:val="single" w:sz="4" w:space="0" w:color="2E6D30"/>
            </w:tcBorders>
          </w:tcPr>
          <w:p w:rsidR="00D51C15" w:rsidRPr="001B5A40" w:rsidRDefault="00D51C15" w:rsidP="007B7ECF">
            <w:pPr>
              <w:pStyle w:val="ISEMainbodytext"/>
              <w:rPr>
                <w:rFonts w:asciiTheme="minorHAnsi" w:hAnsiTheme="minorHAnsi" w:cstheme="minorHAnsi"/>
                <w:sz w:val="22"/>
                <w:szCs w:val="22"/>
              </w:rPr>
            </w:pPr>
            <w:r w:rsidRPr="001B5A40">
              <w:rPr>
                <w:rFonts w:asciiTheme="minorHAnsi" w:hAnsiTheme="minorHAnsi" w:cstheme="minorHAnsi"/>
                <w:sz w:val="22"/>
                <w:szCs w:val="22"/>
              </w:rPr>
              <w:t>Not subject to a Modified Report (unless LR 2.2.5 applies)</w:t>
            </w:r>
          </w:p>
        </w:tc>
        <w:tc>
          <w:tcPr>
            <w:tcW w:w="851"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D51C15" w:rsidRPr="00D51C15" w:rsidTr="00345BEB">
        <w:trPr>
          <w:trHeight w:val="397"/>
        </w:trPr>
        <w:tc>
          <w:tcPr>
            <w:tcW w:w="1134" w:type="dxa"/>
            <w:tcBorders>
              <w:top w:val="single" w:sz="4" w:space="0" w:color="2E6D30"/>
              <w:bottom w:val="nil"/>
              <w:right w:val="single" w:sz="4" w:space="0" w:color="2E6D30"/>
            </w:tcBorders>
            <w:tcMar>
              <w:left w:w="0" w:type="dxa"/>
              <w:right w:w="0" w:type="dxa"/>
            </w:tcMar>
          </w:tcPr>
          <w:p w:rsidR="00D51C15" w:rsidRDefault="00D51C15" w:rsidP="007B7ECF">
            <w:pPr>
              <w:pStyle w:val="ISEMainbodytext"/>
              <w:rPr>
                <w:rFonts w:ascii="Calibri" w:hAnsi="Calibri"/>
                <w:sz w:val="22"/>
                <w:szCs w:val="22"/>
              </w:rPr>
            </w:pPr>
            <w:r>
              <w:rPr>
                <w:rFonts w:ascii="Calibri" w:hAnsi="Calibri"/>
                <w:sz w:val="22"/>
                <w:szCs w:val="22"/>
              </w:rPr>
              <w:t xml:space="preserve">2.2.8 (4) </w:t>
            </w:r>
          </w:p>
        </w:tc>
        <w:tc>
          <w:tcPr>
            <w:tcW w:w="2835" w:type="dxa"/>
            <w:tcBorders>
              <w:top w:val="single" w:sz="4" w:space="0" w:color="2E6D30"/>
              <w:left w:val="single" w:sz="4" w:space="0" w:color="2E6D30"/>
              <w:bottom w:val="nil"/>
              <w:right w:val="single" w:sz="4" w:space="0" w:color="2E6D30"/>
            </w:tcBorders>
          </w:tcPr>
          <w:p w:rsidR="00D51C15" w:rsidRPr="001B5A40" w:rsidRDefault="001B5A40" w:rsidP="007B7ECF">
            <w:pPr>
              <w:pStyle w:val="ISEMainbodytext"/>
              <w:rPr>
                <w:rFonts w:asciiTheme="minorHAnsi" w:hAnsiTheme="minorHAnsi" w:cstheme="minorHAnsi"/>
                <w:sz w:val="22"/>
                <w:szCs w:val="22"/>
              </w:rPr>
            </w:pPr>
            <w:r w:rsidRPr="001B5A40">
              <w:rPr>
                <w:rFonts w:asciiTheme="minorHAnsi" w:hAnsiTheme="minorHAnsi" w:cstheme="minorHAnsi"/>
                <w:sz w:val="22"/>
                <w:szCs w:val="22"/>
              </w:rPr>
              <w:t>represents 75% of enlarged business</w:t>
            </w:r>
          </w:p>
        </w:tc>
        <w:tc>
          <w:tcPr>
            <w:tcW w:w="851"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D51C15" w:rsidRPr="00651481" w:rsidRDefault="001B5A40"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2.2.11</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 xml:space="preserve">Independent business as main activity </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7B7ECF"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7B7ECF" w:rsidRPr="00F67BF7" w:rsidRDefault="007B7ECF" w:rsidP="007B7ECF">
            <w:pPr>
              <w:pStyle w:val="ISEMainbodytext"/>
              <w:rPr>
                <w:rFonts w:ascii="Calibri" w:hAnsi="Calibri"/>
                <w:sz w:val="22"/>
                <w:szCs w:val="22"/>
              </w:rPr>
            </w:pPr>
            <w:r w:rsidRPr="00F67BF7">
              <w:rPr>
                <w:rFonts w:ascii="Calibri" w:hAnsi="Calibri"/>
                <w:sz w:val="22"/>
                <w:szCs w:val="22"/>
              </w:rPr>
              <w:t>2.2.13</w:t>
            </w:r>
            <w:r w:rsidR="00221B86">
              <w:rPr>
                <w:rFonts w:ascii="Calibri" w:hAnsi="Calibri"/>
                <w:sz w:val="22"/>
                <w:szCs w:val="22"/>
              </w:rPr>
              <w:t>(1)</w:t>
            </w:r>
          </w:p>
        </w:tc>
        <w:tc>
          <w:tcPr>
            <w:tcW w:w="2835"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F67BF7">
              <w:rPr>
                <w:rFonts w:ascii="Calibri" w:hAnsi="Calibri"/>
                <w:sz w:val="22"/>
                <w:szCs w:val="22"/>
              </w:rPr>
              <w:t>Written agreement with controlling shareholder</w:t>
            </w:r>
          </w:p>
        </w:tc>
        <w:tc>
          <w:tcPr>
            <w:tcW w:w="851"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bookmarkStart w:id="1" w:name="_GoBack"/>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bookmarkEnd w:id="1"/>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7B7ECF" w:rsidRPr="00F67BF7" w:rsidRDefault="007B7ECF" w:rsidP="007B7ECF">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sz w:val="22"/>
                <w:szCs w:val="22"/>
              </w:rPr>
            </w:pPr>
            <w:r>
              <w:rPr>
                <w:rFonts w:ascii="Calibri" w:hAnsi="Calibri"/>
                <w:sz w:val="22"/>
                <w:szCs w:val="22"/>
              </w:rPr>
              <w:t>2.2.14(1)</w:t>
            </w:r>
          </w:p>
        </w:tc>
        <w:tc>
          <w:tcPr>
            <w:tcW w:w="2835" w:type="dxa"/>
            <w:tcBorders>
              <w:top w:val="single" w:sz="4" w:space="0" w:color="2E6D30"/>
              <w:left w:val="single" w:sz="4" w:space="0" w:color="2E6D30"/>
              <w:bottom w:val="nil"/>
              <w:right w:val="single" w:sz="4" w:space="0" w:color="2E6D30"/>
            </w:tcBorders>
          </w:tcPr>
          <w:p w:rsidR="009A2250" w:rsidRPr="00A45DC0" w:rsidRDefault="009A2250" w:rsidP="009A2250">
            <w:pPr>
              <w:pStyle w:val="ISEMainbodytext"/>
              <w:rPr>
                <w:rFonts w:ascii="Calibri" w:hAnsi="Calibri" w:cs="Calibri"/>
                <w:sz w:val="22"/>
                <w:szCs w:val="22"/>
              </w:rPr>
            </w:pPr>
            <w:r w:rsidRPr="00A45DC0">
              <w:rPr>
                <w:rFonts w:ascii="Calibri" w:hAnsi="Calibri" w:cs="Calibri"/>
                <w:bCs/>
                <w:iCs/>
                <w:sz w:val="22"/>
                <w:szCs w:val="22"/>
              </w:rPr>
              <w:t>Agreement with appropriate number of controlling shareholders in light of understanding</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sz w:val="22"/>
                <w:szCs w:val="22"/>
              </w:rPr>
            </w:pPr>
            <w:r>
              <w:rPr>
                <w:rFonts w:ascii="Calibri" w:hAnsi="Calibri"/>
                <w:sz w:val="22"/>
                <w:szCs w:val="22"/>
              </w:rPr>
              <w:t>2.2.14(2)(a)</w:t>
            </w:r>
          </w:p>
        </w:tc>
        <w:tc>
          <w:tcPr>
            <w:tcW w:w="2835" w:type="dxa"/>
            <w:tcBorders>
              <w:top w:val="single" w:sz="4" w:space="0" w:color="2E6D30"/>
              <w:left w:val="single" w:sz="4" w:space="0" w:color="2E6D30"/>
              <w:bottom w:val="nil"/>
              <w:right w:val="single" w:sz="4" w:space="0" w:color="2E6D30"/>
            </w:tcBorders>
          </w:tcPr>
          <w:p w:rsidR="009A2250" w:rsidRPr="00A45DC0" w:rsidRDefault="009A2250" w:rsidP="009A2250">
            <w:pPr>
              <w:pStyle w:val="ISEMainbodytext"/>
              <w:rPr>
                <w:rFonts w:ascii="Calibri" w:hAnsi="Calibri" w:cs="Calibri"/>
                <w:bCs/>
                <w:iCs/>
                <w:sz w:val="22"/>
                <w:szCs w:val="22"/>
              </w:rPr>
            </w:pPr>
            <w:r w:rsidRPr="00A45DC0">
              <w:rPr>
                <w:rFonts w:ascii="Calibri" w:hAnsi="Calibri" w:cs="Calibri"/>
                <w:bCs/>
                <w:iCs/>
                <w:sz w:val="22"/>
                <w:szCs w:val="22"/>
              </w:rPr>
              <w:t>Agreement includes procurement provision</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sz w:val="22"/>
                <w:szCs w:val="22"/>
              </w:rPr>
            </w:pPr>
            <w:r>
              <w:rPr>
                <w:rFonts w:ascii="Calibri" w:hAnsi="Calibri"/>
                <w:sz w:val="22"/>
                <w:szCs w:val="22"/>
              </w:rPr>
              <w:t>2.2.14(2)(b)</w:t>
            </w:r>
          </w:p>
        </w:tc>
        <w:tc>
          <w:tcPr>
            <w:tcW w:w="2835" w:type="dxa"/>
            <w:tcBorders>
              <w:top w:val="single" w:sz="4" w:space="0" w:color="2E6D30"/>
              <w:left w:val="single" w:sz="4" w:space="0" w:color="2E6D30"/>
              <w:bottom w:val="nil"/>
              <w:right w:val="single" w:sz="4" w:space="0" w:color="2E6D30"/>
            </w:tcBorders>
          </w:tcPr>
          <w:p w:rsidR="009A2250" w:rsidRPr="00A45DC0" w:rsidRDefault="009A2250" w:rsidP="009A2250">
            <w:pPr>
              <w:pStyle w:val="ISEMainbodytext"/>
              <w:rPr>
                <w:rFonts w:ascii="Calibri" w:hAnsi="Calibri" w:cs="Calibri"/>
                <w:bCs/>
                <w:iCs/>
                <w:sz w:val="22"/>
                <w:szCs w:val="22"/>
              </w:rPr>
            </w:pPr>
            <w:r w:rsidRPr="00A45DC0">
              <w:rPr>
                <w:rFonts w:ascii="Calibri" w:hAnsi="Calibri" w:cs="Calibri"/>
                <w:bCs/>
                <w:iCs/>
                <w:sz w:val="22"/>
                <w:szCs w:val="22"/>
              </w:rPr>
              <w:t>Agreement includes names of non-signing controlling shareholders</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1B5A40" w:rsidRDefault="009A2250" w:rsidP="009A2250">
            <w:pPr>
              <w:pStyle w:val="ISEMainbodytext"/>
              <w:rPr>
                <w:rFonts w:ascii="Calibri" w:hAnsi="Calibri" w:cs="Calibri"/>
                <w:sz w:val="22"/>
                <w:szCs w:val="22"/>
              </w:rPr>
            </w:pPr>
            <w:r w:rsidRPr="001B5A40">
              <w:rPr>
                <w:rFonts w:ascii="Calibri" w:hAnsi="Calibri" w:cs="Calibri"/>
                <w:sz w:val="22"/>
                <w:szCs w:val="22"/>
              </w:rPr>
              <w:t>2.2.15(1)</w:t>
            </w:r>
          </w:p>
        </w:tc>
        <w:tc>
          <w:tcPr>
            <w:tcW w:w="2835" w:type="dxa"/>
            <w:tcBorders>
              <w:top w:val="single" w:sz="4" w:space="0" w:color="2E6D30"/>
              <w:left w:val="single" w:sz="4" w:space="0" w:color="2E6D30"/>
              <w:bottom w:val="nil"/>
              <w:right w:val="single" w:sz="4" w:space="0" w:color="2E6D30"/>
            </w:tcBorders>
          </w:tcPr>
          <w:p w:rsidR="009A2250" w:rsidRPr="001B5A40" w:rsidRDefault="009A2250" w:rsidP="009A2250">
            <w:pPr>
              <w:pStyle w:val="ISEMainbodytext"/>
              <w:rPr>
                <w:rFonts w:ascii="Calibri" w:hAnsi="Calibri" w:cs="Calibri"/>
                <w:sz w:val="22"/>
                <w:szCs w:val="22"/>
              </w:rPr>
            </w:pPr>
            <w:r w:rsidRPr="001B5A40">
              <w:rPr>
                <w:rFonts w:ascii="Calibri" w:hAnsi="Calibri" w:cs="Calibri"/>
                <w:bCs/>
                <w:iCs/>
                <w:sz w:val="22"/>
                <w:szCs w:val="22"/>
              </w:rPr>
              <w:t>Agreement includes undertaking regarding transactions</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1B5A40" w:rsidRDefault="009A2250" w:rsidP="009A2250">
            <w:pPr>
              <w:pStyle w:val="ISEMainbodytext"/>
              <w:rPr>
                <w:rFonts w:ascii="Calibri" w:hAnsi="Calibri" w:cs="Calibri"/>
                <w:sz w:val="22"/>
                <w:szCs w:val="22"/>
              </w:rPr>
            </w:pPr>
            <w:r w:rsidRPr="001B5A40">
              <w:rPr>
                <w:rFonts w:ascii="Calibri" w:hAnsi="Calibri" w:cs="Calibri"/>
                <w:sz w:val="22"/>
                <w:szCs w:val="22"/>
              </w:rPr>
              <w:t>2.2.15(2)</w:t>
            </w:r>
          </w:p>
        </w:tc>
        <w:tc>
          <w:tcPr>
            <w:tcW w:w="2835" w:type="dxa"/>
            <w:tcBorders>
              <w:top w:val="single" w:sz="4" w:space="0" w:color="2E6D30"/>
              <w:left w:val="single" w:sz="4" w:space="0" w:color="2E6D30"/>
              <w:bottom w:val="nil"/>
              <w:right w:val="single" w:sz="4" w:space="0" w:color="2E6D30"/>
            </w:tcBorders>
          </w:tcPr>
          <w:p w:rsidR="009A2250" w:rsidRPr="001B5A40" w:rsidRDefault="009A2250" w:rsidP="009A2250">
            <w:pPr>
              <w:pStyle w:val="ISEMainbodytext"/>
              <w:rPr>
                <w:rFonts w:ascii="Calibri" w:hAnsi="Calibri" w:cs="Calibri"/>
                <w:sz w:val="22"/>
                <w:szCs w:val="22"/>
              </w:rPr>
            </w:pPr>
            <w:r w:rsidRPr="001B5A40">
              <w:rPr>
                <w:rFonts w:ascii="Calibri" w:hAnsi="Calibri" w:cs="Calibri"/>
                <w:bCs/>
                <w:iCs/>
                <w:sz w:val="22"/>
                <w:szCs w:val="22"/>
              </w:rPr>
              <w:t>Agreement includes undertaking regarding compliance with obligations under LR’s</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1B5A40" w:rsidRDefault="009A2250" w:rsidP="009A2250">
            <w:pPr>
              <w:pStyle w:val="ISEMainbodytext"/>
              <w:rPr>
                <w:rFonts w:ascii="Calibri" w:hAnsi="Calibri" w:cs="Calibri"/>
                <w:sz w:val="22"/>
                <w:szCs w:val="22"/>
              </w:rPr>
            </w:pPr>
            <w:r w:rsidRPr="001B5A40">
              <w:rPr>
                <w:rFonts w:ascii="Calibri" w:hAnsi="Calibri" w:cs="Calibri"/>
                <w:sz w:val="22"/>
                <w:szCs w:val="22"/>
              </w:rPr>
              <w:t>2.2.15(3)</w:t>
            </w:r>
          </w:p>
        </w:tc>
        <w:tc>
          <w:tcPr>
            <w:tcW w:w="2835" w:type="dxa"/>
            <w:tcBorders>
              <w:top w:val="single" w:sz="4" w:space="0" w:color="2E6D30"/>
              <w:left w:val="single" w:sz="4" w:space="0" w:color="2E6D30"/>
              <w:bottom w:val="nil"/>
              <w:right w:val="single" w:sz="4" w:space="0" w:color="2E6D30"/>
            </w:tcBorders>
          </w:tcPr>
          <w:p w:rsidR="009A2250" w:rsidRPr="001B5A40" w:rsidRDefault="009A2250" w:rsidP="009A2250">
            <w:pPr>
              <w:pStyle w:val="ISEMainbodytext"/>
              <w:rPr>
                <w:rFonts w:ascii="Calibri" w:hAnsi="Calibri" w:cs="Calibri"/>
                <w:sz w:val="22"/>
                <w:szCs w:val="22"/>
              </w:rPr>
            </w:pPr>
            <w:r w:rsidRPr="001B5A40">
              <w:rPr>
                <w:rFonts w:ascii="Calibri" w:hAnsi="Calibri" w:cs="Calibri"/>
                <w:bCs/>
                <w:iCs/>
                <w:sz w:val="22"/>
                <w:szCs w:val="22"/>
              </w:rPr>
              <w:t>Agreement includes undertaking regarding resolutions</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sz w:val="22"/>
                <w:szCs w:val="22"/>
              </w:rPr>
            </w:pPr>
            <w:r w:rsidRPr="00F67BF7">
              <w:rPr>
                <w:rFonts w:ascii="Calibri" w:hAnsi="Calibri"/>
                <w:sz w:val="22"/>
                <w:szCs w:val="22"/>
              </w:rPr>
              <w:t>2.2.24</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Working capital</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sz w:val="22"/>
                <w:szCs w:val="22"/>
              </w:rPr>
            </w:pPr>
            <w:r w:rsidRPr="00F67BF7">
              <w:rPr>
                <w:rFonts w:ascii="Calibri" w:hAnsi="Calibri"/>
                <w:sz w:val="22"/>
                <w:szCs w:val="22"/>
              </w:rPr>
              <w:t xml:space="preserve">2.2.26(1) </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Banking, Insurance or financial services company</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sz w:val="22"/>
                <w:szCs w:val="22"/>
              </w:rPr>
            </w:pPr>
            <w:r w:rsidRPr="00F67BF7">
              <w:rPr>
                <w:rFonts w:ascii="Calibri" w:hAnsi="Calibri"/>
                <w:sz w:val="22"/>
                <w:szCs w:val="22"/>
              </w:rPr>
              <w:lastRenderedPageBreak/>
              <w:t>2.2.26(2)</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Solvency and capital adequacy is regulated</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bCs/>
                <w:sz w:val="22"/>
                <w:szCs w:val="22"/>
              </w:rPr>
            </w:pPr>
            <w:r w:rsidRPr="00F67BF7">
              <w:rPr>
                <w:rFonts w:ascii="Calibri" w:hAnsi="Calibri"/>
                <w:bCs/>
                <w:sz w:val="22"/>
                <w:szCs w:val="22"/>
              </w:rPr>
              <w:t>2.2.26(3)</w:t>
            </w:r>
            <w:r w:rsidRPr="00F67BF7">
              <w:rPr>
                <w:rFonts w:ascii="Calibri" w:hAnsi="Calibri"/>
                <w:sz w:val="22"/>
                <w:szCs w:val="22"/>
              </w:rPr>
              <w:t xml:space="preserve"> </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Meeting capital adequacy requirements and is expected to do so for 12 months</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bCs/>
                <w:sz w:val="22"/>
                <w:szCs w:val="22"/>
              </w:rPr>
            </w:pPr>
            <w:r w:rsidRPr="00F67BF7">
              <w:rPr>
                <w:rFonts w:ascii="Calibri" w:hAnsi="Calibri"/>
                <w:bCs/>
                <w:sz w:val="22"/>
                <w:szCs w:val="22"/>
              </w:rPr>
              <w:t>2.2.27</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Shares in public hands</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bCs/>
                <w:sz w:val="22"/>
                <w:szCs w:val="22"/>
              </w:rPr>
            </w:pPr>
            <w:r w:rsidRPr="00F67BF7">
              <w:rPr>
                <w:rFonts w:ascii="Calibri" w:hAnsi="Calibri"/>
                <w:bCs/>
                <w:sz w:val="22"/>
                <w:szCs w:val="22"/>
              </w:rPr>
              <w:t>2.2.32</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Warrants limited to 20%</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Del="007922EB" w:rsidRDefault="009A2250" w:rsidP="009A2250">
            <w:pPr>
              <w:pStyle w:val="ISEMainbodytext"/>
              <w:rPr>
                <w:rFonts w:ascii="Calibri" w:hAnsi="Calibri"/>
                <w:bCs/>
                <w:sz w:val="22"/>
                <w:szCs w:val="22"/>
              </w:rPr>
            </w:pPr>
            <w:r w:rsidRPr="00F67BF7">
              <w:rPr>
                <w:rFonts w:ascii="Calibri" w:hAnsi="Calibri"/>
                <w:bCs/>
                <w:sz w:val="22"/>
                <w:szCs w:val="22"/>
              </w:rPr>
              <w:t xml:space="preserve">2.2.33(1) </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Pre-emption rights – constitution provides at least equivalent rights to LR 6.1.30</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bCs/>
                <w:sz w:val="22"/>
                <w:szCs w:val="22"/>
              </w:rPr>
            </w:pPr>
            <w:r w:rsidRPr="00F67BF7">
              <w:rPr>
                <w:rFonts w:ascii="Calibri" w:hAnsi="Calibri"/>
                <w:bCs/>
                <w:sz w:val="22"/>
                <w:szCs w:val="22"/>
              </w:rPr>
              <w:t xml:space="preserve">2.2.33(2) </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 xml:space="preserve">Conferring such rights not incompatible with law of country of incorporation </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bCs/>
                <w:sz w:val="22"/>
                <w:szCs w:val="22"/>
              </w:rPr>
            </w:pPr>
            <w:r w:rsidRPr="00F67BF7">
              <w:rPr>
                <w:rFonts w:ascii="Calibri" w:hAnsi="Calibri"/>
                <w:bCs/>
                <w:sz w:val="22"/>
                <w:szCs w:val="22"/>
              </w:rPr>
              <w:t>2.2.34</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F67BF7">
              <w:rPr>
                <w:rFonts w:ascii="Calibri" w:hAnsi="Calibri"/>
                <w:sz w:val="22"/>
                <w:szCs w:val="22"/>
              </w:rPr>
              <w:t xml:space="preserve">Discretion of board not limited or transferred and board capable to act on key strategic matters </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345BEB">
        <w:trPr>
          <w:trHeight w:val="397"/>
        </w:trPr>
        <w:tc>
          <w:tcPr>
            <w:tcW w:w="1134" w:type="dxa"/>
            <w:tcBorders>
              <w:top w:val="single" w:sz="4" w:space="0" w:color="2E6D30"/>
              <w:bottom w:val="nil"/>
              <w:right w:val="single" w:sz="4" w:space="0" w:color="2E6D30"/>
            </w:tcBorders>
            <w:tcMar>
              <w:left w:w="0" w:type="dxa"/>
              <w:right w:w="0" w:type="dxa"/>
            </w:tcMar>
          </w:tcPr>
          <w:p w:rsidR="009A2250" w:rsidRPr="00F67BF7" w:rsidRDefault="009A2250" w:rsidP="009A2250">
            <w:pPr>
              <w:pStyle w:val="ISEMainbodytext"/>
              <w:rPr>
                <w:rFonts w:ascii="Calibri" w:hAnsi="Calibri"/>
                <w:bCs/>
                <w:sz w:val="22"/>
                <w:szCs w:val="22"/>
              </w:rPr>
            </w:pPr>
            <w:r>
              <w:rPr>
                <w:rFonts w:ascii="Calibri" w:hAnsi="Calibri"/>
                <w:bCs/>
                <w:sz w:val="22"/>
                <w:szCs w:val="22"/>
              </w:rPr>
              <w:t>2.2.36</w:t>
            </w:r>
          </w:p>
        </w:tc>
        <w:tc>
          <w:tcPr>
            <w:tcW w:w="2835"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Pr>
                <w:rFonts w:ascii="Calibri" w:hAnsi="Calibri"/>
                <w:sz w:val="22"/>
                <w:szCs w:val="22"/>
              </w:rPr>
              <w:t>Constitution will allow it to comply with LR 6.1.22</w:t>
            </w:r>
          </w:p>
        </w:tc>
        <w:tc>
          <w:tcPr>
            <w:tcW w:w="851"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nil"/>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Del="00CF34BE" w:rsidRDefault="009A2250" w:rsidP="009A2250">
            <w:pPr>
              <w:pStyle w:val="ISEMainbodytext"/>
              <w:rPr>
                <w:bCs/>
                <w:szCs w:val="22"/>
              </w:rPr>
            </w:pP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Theme="minorHAnsi" w:hAnsiTheme="minorHAnsi"/>
                <w:b/>
                <w:sz w:val="22"/>
                <w:szCs w:val="22"/>
              </w:rPr>
            </w:pPr>
            <w:r w:rsidRPr="00F67BF7">
              <w:rPr>
                <w:rFonts w:asciiTheme="minorHAnsi" w:hAnsiTheme="minorHAnsi"/>
                <w:b/>
                <w:sz w:val="22"/>
                <w:szCs w:val="22"/>
              </w:rPr>
              <w:t>Mineral Company</w:t>
            </w:r>
          </w:p>
        </w:tc>
        <w:tc>
          <w:tcPr>
            <w:tcW w:w="851"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p>
        </w:tc>
        <w:tc>
          <w:tcPr>
            <w:tcW w:w="992"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p>
        </w:tc>
        <w:tc>
          <w:tcPr>
            <w:tcW w:w="2580" w:type="dxa"/>
            <w:tcBorders>
              <w:top w:val="single" w:sz="4" w:space="0" w:color="2E6D30"/>
              <w:left w:val="single" w:sz="4" w:space="0" w:color="2E6D30"/>
              <w:bottom w:val="single" w:sz="4" w:space="0" w:color="2E6D30"/>
            </w:tcBorders>
          </w:tcPr>
          <w:p w:rsidR="009A2250" w:rsidRPr="00E52AD0" w:rsidRDefault="009A2250" w:rsidP="009A2250">
            <w:pPr>
              <w:pStyle w:val="ISEMainbodytext"/>
            </w:pP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t xml:space="preserve">2.2.16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sz w:val="22"/>
                <w:szCs w:val="22"/>
              </w:rPr>
              <w:t xml:space="preserve">Published or filed historical financial information since inception </w:t>
            </w:r>
          </w:p>
        </w:tc>
        <w:tc>
          <w:tcPr>
            <w:tcW w:w="851"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t xml:space="preserve">2.2.18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iCs/>
                <w:sz w:val="22"/>
                <w:szCs w:val="22"/>
              </w:rPr>
              <w:t>Reasonable spread of direct interests and rights to participate in extraction</w:t>
            </w:r>
          </w:p>
        </w:tc>
        <w:tc>
          <w:tcPr>
            <w:tcW w:w="851"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b/>
                <w:sz w:val="22"/>
                <w:szCs w:val="22"/>
              </w:rPr>
            </w:pPr>
            <w:r w:rsidRPr="00F67BF7">
              <w:rPr>
                <w:rFonts w:ascii="Calibri" w:hAnsi="Calibri"/>
                <w:b/>
                <w:sz w:val="22"/>
                <w:szCs w:val="22"/>
              </w:rPr>
              <w:t>Scientific Research Based Company</w:t>
            </w:r>
          </w:p>
        </w:tc>
        <w:tc>
          <w:tcPr>
            <w:tcW w:w="851"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rsidR="009A2250" w:rsidRPr="00F67BF7" w:rsidRDefault="009A2250" w:rsidP="009A2250">
            <w:pPr>
              <w:pStyle w:val="ISEMainbodytext"/>
              <w:rPr>
                <w:rFonts w:ascii="Calibri" w:hAnsi="Calibri"/>
                <w:sz w:val="22"/>
                <w:szCs w:val="22"/>
              </w:rPr>
            </w:pP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t xml:space="preserve">2.2.19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sz w:val="22"/>
                <w:szCs w:val="22"/>
              </w:rPr>
              <w:t>Published or filed historical financial information since inception</w:t>
            </w:r>
          </w:p>
        </w:tc>
        <w:tc>
          <w:tcPr>
            <w:tcW w:w="851"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t xml:space="preserve">2.2.20(1)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sz w:val="22"/>
                <w:szCs w:val="22"/>
              </w:rPr>
              <w:t>Demonstrate ability to attract funds from sophisticated investors</w:t>
            </w:r>
          </w:p>
        </w:tc>
        <w:tc>
          <w:tcPr>
            <w:tcW w:w="851"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F67BF7" w:rsidRDefault="009A2250" w:rsidP="009A2250">
            <w:pPr>
              <w:pStyle w:val="ISEMainbodytext"/>
              <w:rPr>
                <w:rFonts w:ascii="Calibri" w:hAnsi="Calibri"/>
                <w:sz w:val="22"/>
                <w:szCs w:val="22"/>
              </w:rPr>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Theme="minorHAnsi" w:hAnsiTheme="minorHAnsi"/>
                <w:bCs/>
                <w:sz w:val="22"/>
                <w:szCs w:val="22"/>
              </w:rPr>
            </w:pPr>
            <w:r w:rsidRPr="00F67BF7">
              <w:rPr>
                <w:rFonts w:asciiTheme="minorHAnsi" w:hAnsiTheme="minorHAnsi"/>
                <w:bCs/>
                <w:sz w:val="22"/>
                <w:szCs w:val="22"/>
              </w:rPr>
              <w:t xml:space="preserve">2.2.20(2)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sz w:val="22"/>
                <w:szCs w:val="22"/>
              </w:rPr>
              <w:t xml:space="preserve">Raising at least </w:t>
            </w:r>
            <w:r>
              <w:rPr>
                <w:rFonts w:ascii="Calibri" w:hAnsi="Calibri"/>
                <w:sz w:val="22"/>
                <w:szCs w:val="22"/>
              </w:rPr>
              <w:t>€12.5m</w:t>
            </w:r>
          </w:p>
        </w:tc>
        <w:tc>
          <w:tcPr>
            <w:tcW w:w="851"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t xml:space="preserve">2.2.20(3)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sz w:val="22"/>
                <w:szCs w:val="22"/>
              </w:rPr>
              <w:t xml:space="preserve">Market cap before fundraising of </w:t>
            </w:r>
            <w:r>
              <w:t>€25m</w:t>
            </w:r>
          </w:p>
        </w:tc>
        <w:tc>
          <w:tcPr>
            <w:tcW w:w="851"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lastRenderedPageBreak/>
              <w:t xml:space="preserve">2.2.20(4)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Del="00CF34BE" w:rsidRDefault="009A2250" w:rsidP="009A2250">
            <w:pPr>
              <w:pStyle w:val="ISEMainbodytext"/>
              <w:rPr>
                <w:rFonts w:ascii="Calibri" w:hAnsi="Calibri"/>
                <w:sz w:val="22"/>
                <w:szCs w:val="22"/>
              </w:rPr>
            </w:pPr>
            <w:r w:rsidRPr="00F67BF7">
              <w:rPr>
                <w:rFonts w:ascii="Calibri" w:hAnsi="Calibri"/>
                <w:sz w:val="22"/>
                <w:szCs w:val="22"/>
              </w:rPr>
              <w:t>Use finance to bring identified product to revenue generating stage</w:t>
            </w:r>
          </w:p>
        </w:tc>
        <w:tc>
          <w:tcPr>
            <w:tcW w:w="851"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r w:rsidR="009A2250" w:rsidRPr="00700EA2" w:rsidTr="007E558C">
        <w:trPr>
          <w:trHeight w:val="397"/>
        </w:trPr>
        <w:tc>
          <w:tcPr>
            <w:tcW w:w="1134" w:type="dxa"/>
            <w:tcBorders>
              <w:top w:val="single" w:sz="4" w:space="0" w:color="2E6D30"/>
              <w:bottom w:val="single" w:sz="4" w:space="0" w:color="2E6D30"/>
              <w:right w:val="single" w:sz="4" w:space="0" w:color="2E6D30"/>
            </w:tcBorders>
            <w:tcMar>
              <w:left w:w="0" w:type="dxa"/>
              <w:right w:w="0" w:type="dxa"/>
            </w:tcMar>
          </w:tcPr>
          <w:p w:rsidR="009A2250" w:rsidRPr="00F67BF7" w:rsidDel="00CF34BE" w:rsidRDefault="009A2250" w:rsidP="009A2250">
            <w:pPr>
              <w:pStyle w:val="ISEMainbodytext"/>
              <w:rPr>
                <w:rFonts w:ascii="Calibri" w:hAnsi="Calibri"/>
                <w:bCs/>
                <w:sz w:val="22"/>
                <w:szCs w:val="22"/>
              </w:rPr>
            </w:pPr>
            <w:r w:rsidRPr="00F67BF7">
              <w:rPr>
                <w:rFonts w:ascii="Calibri" w:hAnsi="Calibri"/>
                <w:bCs/>
                <w:sz w:val="22"/>
                <w:szCs w:val="22"/>
              </w:rPr>
              <w:t xml:space="preserve">2.2.20(5) </w:t>
            </w:r>
          </w:p>
        </w:tc>
        <w:tc>
          <w:tcPr>
            <w:tcW w:w="2835" w:type="dxa"/>
            <w:tcBorders>
              <w:top w:val="single" w:sz="4" w:space="0" w:color="2E6D30"/>
              <w:left w:val="single" w:sz="4" w:space="0" w:color="2E6D30"/>
              <w:bottom w:val="single" w:sz="4" w:space="0" w:color="2E6D30"/>
              <w:right w:val="single" w:sz="4" w:space="0" w:color="2E6D30"/>
            </w:tcBorders>
          </w:tcPr>
          <w:p w:rsidR="009A2250" w:rsidRPr="00F67BF7" w:rsidRDefault="009A2250" w:rsidP="009A2250">
            <w:pPr>
              <w:rPr>
                <w:rFonts w:ascii="Calibri" w:hAnsi="Calibri"/>
                <w:sz w:val="22"/>
                <w:szCs w:val="22"/>
              </w:rPr>
            </w:pPr>
            <w:r w:rsidRPr="00F67BF7">
              <w:rPr>
                <w:rFonts w:ascii="Calibri" w:hAnsi="Calibri"/>
                <w:sz w:val="22"/>
                <w:szCs w:val="22"/>
              </w:rPr>
              <w:t>Demonstrate that it has 3 year record of operations in laboratory research and development including:</w:t>
            </w:r>
          </w:p>
          <w:p w:rsidR="009A2250" w:rsidRPr="00F67BF7" w:rsidRDefault="009A2250" w:rsidP="009A2250">
            <w:pPr>
              <w:numPr>
                <w:ilvl w:val="0"/>
                <w:numId w:val="9"/>
              </w:numPr>
              <w:rPr>
                <w:rFonts w:ascii="Calibri" w:hAnsi="Calibri"/>
                <w:sz w:val="22"/>
                <w:szCs w:val="22"/>
              </w:rPr>
            </w:pPr>
            <w:r w:rsidRPr="00F67BF7">
              <w:rPr>
                <w:rFonts w:ascii="Calibri" w:hAnsi="Calibri"/>
                <w:sz w:val="22"/>
                <w:szCs w:val="22"/>
              </w:rPr>
              <w:t>details of patents granted or details of progress of patent applications; and</w:t>
            </w:r>
          </w:p>
          <w:p w:rsidR="009A2250" w:rsidRPr="00F67BF7" w:rsidDel="00CF34BE" w:rsidRDefault="009A2250" w:rsidP="009A2250">
            <w:pPr>
              <w:pStyle w:val="ISEMainbodytext"/>
              <w:numPr>
                <w:ilvl w:val="0"/>
                <w:numId w:val="9"/>
              </w:numPr>
              <w:rPr>
                <w:rFonts w:ascii="Calibri" w:hAnsi="Calibri"/>
                <w:sz w:val="22"/>
                <w:szCs w:val="22"/>
              </w:rPr>
            </w:pPr>
            <w:r w:rsidRPr="00F67BF7">
              <w:rPr>
                <w:rFonts w:ascii="Calibri" w:hAnsi="Calibri"/>
                <w:sz w:val="22"/>
                <w:szCs w:val="22"/>
              </w:rPr>
              <w:t>successful completion of, or the successful progression of, significant testing of the effectiveness of its products</w:t>
            </w:r>
          </w:p>
        </w:tc>
        <w:tc>
          <w:tcPr>
            <w:tcW w:w="851"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rsidR="009A2250" w:rsidRPr="00E52AD0" w:rsidRDefault="009A2250" w:rsidP="009A2250">
            <w:pPr>
              <w:pStyle w:val="ISEMainbodytext"/>
            </w:pPr>
            <w:r w:rsidRPr="00651481">
              <w:rPr>
                <w:rFonts w:ascii="Calibri" w:hAnsi="Calibri"/>
                <w:sz w:val="22"/>
                <w:szCs w:val="22"/>
              </w:rPr>
              <w:fldChar w:fldCharType="begin">
                <w:ffData>
                  <w:name w:val="Text1"/>
                  <w:enabled/>
                  <w:calcOnExit w:val="0"/>
                  <w:textInput/>
                </w:ffData>
              </w:fldChar>
            </w:r>
            <w:r w:rsidRPr="00651481">
              <w:rPr>
                <w:rFonts w:ascii="Calibri" w:hAnsi="Calibri"/>
                <w:sz w:val="22"/>
                <w:szCs w:val="22"/>
              </w:rPr>
              <w:instrText xml:space="preserve"> FORMTEXT </w:instrText>
            </w:r>
            <w:r w:rsidRPr="00651481">
              <w:rPr>
                <w:rFonts w:ascii="Calibri" w:hAnsi="Calibri"/>
                <w:sz w:val="22"/>
                <w:szCs w:val="22"/>
              </w:rPr>
            </w:r>
            <w:r w:rsidRPr="00651481">
              <w:rPr>
                <w:rFonts w:ascii="Calibri" w:hAnsi="Calibri"/>
                <w:sz w:val="22"/>
                <w:szCs w:val="22"/>
              </w:rPr>
              <w:fldChar w:fldCharType="separate"/>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eastAsia="MS Mincho" w:hAnsi="Calibri"/>
                <w:sz w:val="22"/>
                <w:szCs w:val="22"/>
              </w:rPr>
              <w:t> </w:t>
            </w:r>
            <w:r w:rsidRPr="00651481">
              <w:rPr>
                <w:rFonts w:ascii="Calibri" w:hAnsi="Calibri"/>
                <w:sz w:val="22"/>
                <w:szCs w:val="22"/>
              </w:rPr>
              <w:fldChar w:fldCharType="end"/>
            </w:r>
          </w:p>
        </w:tc>
      </w:tr>
    </w:tbl>
    <w:p w:rsidR="00C730E6" w:rsidRDefault="00C730E6">
      <w:r>
        <w:rPr>
          <w:b/>
          <w:bCs/>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77156C" w:rsidRPr="00F67BF7" w:rsidTr="00E07F83">
        <w:trPr>
          <w:trHeight w:val="397"/>
        </w:trPr>
        <w:tc>
          <w:tcPr>
            <w:tcW w:w="8392" w:type="dxa"/>
            <w:gridSpan w:val="2"/>
            <w:tcBorders>
              <w:top w:val="nil"/>
              <w:left w:val="nil"/>
              <w:bottom w:val="nil"/>
              <w:right w:val="nil"/>
            </w:tcBorders>
            <w:tcMar>
              <w:left w:w="0" w:type="dxa"/>
              <w:right w:w="0" w:type="dxa"/>
            </w:tcMar>
          </w:tcPr>
          <w:p w:rsidR="0077156C" w:rsidRPr="00F67BF7" w:rsidRDefault="0077156C" w:rsidP="007C041F">
            <w:pPr>
              <w:pStyle w:val="ISESubheadingNoRuleabove"/>
              <w:rPr>
                <w:rFonts w:ascii="Calibri" w:hAnsi="Calibri"/>
                <w:sz w:val="22"/>
                <w:szCs w:val="22"/>
                <w:lang w:val="en-IE"/>
              </w:rPr>
            </w:pPr>
            <w:r w:rsidRPr="00F67BF7">
              <w:rPr>
                <w:rFonts w:ascii="Calibri" w:hAnsi="Calibri"/>
                <w:sz w:val="22"/>
                <w:szCs w:val="22"/>
              </w:rPr>
              <w:lastRenderedPageBreak/>
              <w:t>Non-applicability Confirmation</w:t>
            </w:r>
          </w:p>
        </w:tc>
      </w:tr>
      <w:tr w:rsidR="0077156C" w:rsidRPr="00F67BF7" w:rsidTr="00C730E6">
        <w:trPr>
          <w:trHeight w:val="397"/>
        </w:trPr>
        <w:tc>
          <w:tcPr>
            <w:tcW w:w="8392" w:type="dxa"/>
            <w:gridSpan w:val="2"/>
            <w:tcBorders>
              <w:top w:val="nil"/>
              <w:left w:val="nil"/>
              <w:bottom w:val="nil"/>
              <w:right w:val="nil"/>
            </w:tcBorders>
            <w:tcMar>
              <w:left w:w="0" w:type="dxa"/>
              <w:right w:w="0" w:type="dxa"/>
            </w:tcMar>
          </w:tcPr>
          <w:p w:rsidR="0077156C" w:rsidRPr="00F67BF7" w:rsidRDefault="00094D7E" w:rsidP="000B64A6">
            <w:pPr>
              <w:pStyle w:val="ISEMainbodytext"/>
              <w:rPr>
                <w:rFonts w:ascii="Calibri" w:hAnsi="Calibri"/>
                <w:sz w:val="22"/>
                <w:szCs w:val="22"/>
              </w:rPr>
            </w:pPr>
            <w:r w:rsidRPr="00F67BF7">
              <w:rPr>
                <w:rFonts w:ascii="Calibri" w:hAnsi="Calibri"/>
                <w:sz w:val="22"/>
                <w:szCs w:val="22"/>
              </w:rPr>
              <w:t>We inform you that items marked ‘N/A’ in the Page column of the above checklist are considered not applicable and no equivalent information is available.</w:t>
            </w:r>
          </w:p>
        </w:tc>
      </w:tr>
      <w:tr w:rsidR="00C730E6" w:rsidRPr="00F67BF7" w:rsidTr="00C730E6">
        <w:trPr>
          <w:trHeight w:hRule="exact" w:val="397"/>
        </w:trPr>
        <w:tc>
          <w:tcPr>
            <w:tcW w:w="8392" w:type="dxa"/>
            <w:gridSpan w:val="2"/>
            <w:tcBorders>
              <w:top w:val="nil"/>
              <w:left w:val="nil"/>
              <w:bottom w:val="nil"/>
              <w:right w:val="nil"/>
            </w:tcBorders>
            <w:tcMar>
              <w:left w:w="0" w:type="dxa"/>
              <w:right w:w="0" w:type="dxa"/>
            </w:tcMar>
          </w:tcPr>
          <w:p w:rsidR="00C730E6" w:rsidRPr="00F67BF7" w:rsidRDefault="00C730E6" w:rsidP="00F204F9">
            <w:pPr>
              <w:pStyle w:val="ISETableColumnHeading"/>
              <w:rPr>
                <w:rFonts w:ascii="Calibri" w:hAnsi="Calibri"/>
                <w:sz w:val="22"/>
                <w:szCs w:val="22"/>
              </w:rPr>
            </w:pPr>
          </w:p>
        </w:tc>
      </w:tr>
      <w:tr w:rsidR="0077156C" w:rsidRPr="00F67BF7" w:rsidTr="00C730E6">
        <w:trPr>
          <w:trHeight w:hRule="exact" w:val="397"/>
        </w:trPr>
        <w:tc>
          <w:tcPr>
            <w:tcW w:w="8392" w:type="dxa"/>
            <w:gridSpan w:val="2"/>
            <w:tcBorders>
              <w:top w:val="nil"/>
              <w:left w:val="nil"/>
              <w:bottom w:val="single" w:sz="8" w:space="0" w:color="2E6D30"/>
              <w:right w:val="nil"/>
            </w:tcBorders>
            <w:tcMar>
              <w:left w:w="0" w:type="dxa"/>
              <w:right w:w="0" w:type="dxa"/>
            </w:tcMar>
          </w:tcPr>
          <w:p w:rsidR="0077156C" w:rsidRPr="00F67BF7" w:rsidRDefault="0077156C" w:rsidP="00F204F9">
            <w:pPr>
              <w:pStyle w:val="ISETableColumnHeading"/>
              <w:rPr>
                <w:rFonts w:ascii="Calibri" w:hAnsi="Calibri"/>
                <w:sz w:val="22"/>
                <w:szCs w:val="22"/>
              </w:rPr>
            </w:pPr>
            <w:r w:rsidRPr="00F67BF7">
              <w:rPr>
                <w:rFonts w:ascii="Calibri" w:hAnsi="Calibri"/>
                <w:sz w:val="22"/>
                <w:szCs w:val="22"/>
              </w:rPr>
              <w:t>Signed by</w:t>
            </w:r>
          </w:p>
        </w:tc>
      </w:tr>
      <w:tr w:rsidR="005653CC" w:rsidRPr="00F67BF7" w:rsidTr="005653CC">
        <w:trPr>
          <w:trHeight w:hRule="exact" w:val="397"/>
        </w:trPr>
        <w:tc>
          <w:tcPr>
            <w:tcW w:w="2098" w:type="dxa"/>
            <w:tcBorders>
              <w:top w:val="single" w:sz="8" w:space="0" w:color="2E6D30"/>
              <w:left w:val="nil"/>
              <w:bottom w:val="nil"/>
              <w:right w:val="nil"/>
            </w:tcBorders>
            <w:tcMar>
              <w:left w:w="0" w:type="dxa"/>
              <w:right w:w="0" w:type="dxa"/>
            </w:tcMar>
          </w:tcPr>
          <w:p w:rsidR="005653CC" w:rsidRPr="00F67BF7" w:rsidRDefault="005653CC" w:rsidP="00F204F9">
            <w:pPr>
              <w:pStyle w:val="ISEMainbodytext"/>
              <w:rPr>
                <w:rFonts w:ascii="Calibri" w:hAnsi="Calibri"/>
                <w:sz w:val="22"/>
                <w:szCs w:val="22"/>
                <w:lang w:val="en-IE"/>
              </w:rPr>
            </w:pPr>
          </w:p>
        </w:tc>
        <w:tc>
          <w:tcPr>
            <w:tcW w:w="6294" w:type="dxa"/>
            <w:tcBorders>
              <w:top w:val="single" w:sz="8" w:space="0" w:color="2E6D30"/>
              <w:left w:val="nil"/>
              <w:bottom w:val="nil"/>
              <w:right w:val="nil"/>
            </w:tcBorders>
          </w:tcPr>
          <w:p w:rsidR="005653CC" w:rsidRPr="00F67BF7" w:rsidRDefault="005653CC" w:rsidP="00F204F9">
            <w:pPr>
              <w:pStyle w:val="ISEMainbodytextBold"/>
              <w:rPr>
                <w:rFonts w:ascii="Calibri" w:hAnsi="Calibri"/>
                <w:sz w:val="22"/>
                <w:szCs w:val="22"/>
              </w:rPr>
            </w:pPr>
          </w:p>
        </w:tc>
      </w:tr>
      <w:tr w:rsidR="0077156C" w:rsidRPr="00F67BF7" w:rsidTr="005653CC">
        <w:trPr>
          <w:trHeight w:hRule="exact" w:val="397"/>
        </w:trPr>
        <w:tc>
          <w:tcPr>
            <w:tcW w:w="2098" w:type="dxa"/>
            <w:tcBorders>
              <w:top w:val="nil"/>
              <w:left w:val="nil"/>
              <w:bottom w:val="single" w:sz="8" w:space="0" w:color="2E6D30"/>
              <w:right w:val="nil"/>
            </w:tcBorders>
            <w:tcMar>
              <w:left w:w="0" w:type="dxa"/>
              <w:right w:w="0" w:type="dxa"/>
            </w:tcMar>
          </w:tcPr>
          <w:p w:rsidR="0077156C" w:rsidRPr="00F67BF7" w:rsidRDefault="0077156C" w:rsidP="00F204F9">
            <w:pPr>
              <w:pStyle w:val="ISEMainbodytext"/>
              <w:rPr>
                <w:rFonts w:ascii="Calibri" w:hAnsi="Calibri"/>
                <w:sz w:val="22"/>
                <w:szCs w:val="22"/>
              </w:rPr>
            </w:pPr>
            <w:r w:rsidRPr="00F67BF7">
              <w:rPr>
                <w:rFonts w:ascii="Calibri" w:hAnsi="Calibri"/>
                <w:sz w:val="22"/>
                <w:szCs w:val="22"/>
                <w:lang w:val="en-IE"/>
              </w:rPr>
              <w:t>on behalf of</w:t>
            </w:r>
          </w:p>
        </w:tc>
        <w:tc>
          <w:tcPr>
            <w:tcW w:w="6294" w:type="dxa"/>
            <w:tcBorders>
              <w:top w:val="nil"/>
              <w:left w:val="nil"/>
              <w:bottom w:val="single" w:sz="8" w:space="0" w:color="2E6D30"/>
              <w:right w:val="nil"/>
            </w:tcBorders>
          </w:tcPr>
          <w:p w:rsidR="0077156C" w:rsidRPr="00F67BF7" w:rsidRDefault="0077156C" w:rsidP="00F204F9">
            <w:pPr>
              <w:pStyle w:val="ISEMainbodytextBold"/>
              <w:rPr>
                <w:rFonts w:ascii="Calibri" w:hAnsi="Calibri"/>
                <w:sz w:val="22"/>
                <w:szCs w:val="22"/>
              </w:rPr>
            </w:pPr>
            <w:r w:rsidRPr="00F67BF7">
              <w:rPr>
                <w:rFonts w:ascii="Calibri" w:hAnsi="Calibri"/>
                <w:sz w:val="22"/>
                <w:szCs w:val="22"/>
              </w:rPr>
              <w:fldChar w:fldCharType="begin">
                <w:ffData>
                  <w:name w:val="Text1"/>
                  <w:enabled/>
                  <w:calcOnExit w:val="0"/>
                  <w:textInput/>
                </w:ffData>
              </w:fldChar>
            </w:r>
            <w:r w:rsidRPr="00F67BF7">
              <w:rPr>
                <w:rFonts w:ascii="Calibri" w:hAnsi="Calibri"/>
                <w:sz w:val="22"/>
                <w:szCs w:val="22"/>
              </w:rPr>
              <w:instrText xml:space="preserve"> FORMTEXT </w:instrText>
            </w:r>
            <w:r w:rsidRPr="00F67BF7">
              <w:rPr>
                <w:rFonts w:ascii="Calibri" w:hAnsi="Calibri"/>
                <w:sz w:val="22"/>
                <w:szCs w:val="22"/>
              </w:rPr>
            </w:r>
            <w:r w:rsidRPr="00F67BF7">
              <w:rPr>
                <w:rFonts w:ascii="Calibri" w:hAnsi="Calibri"/>
                <w:sz w:val="22"/>
                <w:szCs w:val="22"/>
              </w:rPr>
              <w:fldChar w:fldCharType="separate"/>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eastAsia="MS Mincho" w:hAnsi="Calibri"/>
                <w:sz w:val="22"/>
                <w:szCs w:val="22"/>
              </w:rPr>
              <w:t> </w:t>
            </w:r>
            <w:r w:rsidRPr="00F67BF7">
              <w:rPr>
                <w:rFonts w:ascii="Calibri" w:hAnsi="Calibri"/>
                <w:sz w:val="22"/>
                <w:szCs w:val="22"/>
              </w:rPr>
              <w:fldChar w:fldCharType="end"/>
            </w:r>
          </w:p>
        </w:tc>
      </w:tr>
    </w:tbl>
    <w:p w:rsidR="000B64A6" w:rsidRPr="00F67BF7" w:rsidRDefault="000B64A6" w:rsidP="00B03847">
      <w:pPr>
        <w:pStyle w:val="spacingreturntopofpage"/>
        <w:tabs>
          <w:tab w:val="left" w:pos="3192"/>
        </w:tabs>
        <w:rPr>
          <w:rFonts w:ascii="Calibri" w:hAnsi="Calibri"/>
          <w:sz w:val="22"/>
          <w:szCs w:val="22"/>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Default="00FF2835" w:rsidP="00FF2835">
      <w:pPr>
        <w:pStyle w:val="ISEMainbodytext"/>
        <w:spacing w:line="240" w:lineRule="auto"/>
        <w:rPr>
          <w:sz w:val="15"/>
          <w:szCs w:val="15"/>
        </w:rPr>
      </w:pPr>
    </w:p>
    <w:p w:rsidR="00FF2835" w:rsidRPr="00F67BF7" w:rsidRDefault="00FF2835" w:rsidP="00F67BF7">
      <w:pPr>
        <w:pStyle w:val="ISEMainbodytext"/>
        <w:spacing w:line="240" w:lineRule="auto"/>
        <w:rPr>
          <w:rFonts w:ascii="Calibri" w:hAnsi="Calibri"/>
          <w:sz w:val="18"/>
          <w:szCs w:val="18"/>
        </w:rPr>
      </w:pPr>
      <w:r w:rsidRPr="00F67BF7">
        <w:rPr>
          <w:rFonts w:ascii="Calibri" w:hAnsi="Calibri"/>
          <w:sz w:val="18"/>
          <w:szCs w:val="18"/>
        </w:rPr>
        <w:t xml:space="preserve">Your attention is drawn to the Privacy Statement of the Irish Stock Exchange trading as Euronext Dublin, accessible at: </w:t>
      </w:r>
      <w:hyperlink r:id="rId7" w:history="1">
        <w:r w:rsidRPr="00F67BF7">
          <w:rPr>
            <w:rStyle w:val="Hyperlink"/>
            <w:rFonts w:ascii="Calibri" w:hAnsi="Calibri"/>
            <w:sz w:val="18"/>
            <w:szCs w:val="18"/>
          </w:rPr>
          <w:t>http://www.ise.ie/Privacy-Statement/</w:t>
        </w:r>
      </w:hyperlink>
      <w:r w:rsidRPr="00F67BF7">
        <w:rPr>
          <w:rFonts w:ascii="Calibri" w:hAnsi="Calibr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FF2835" w:rsidRPr="00F67BF7"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334" w:rsidRDefault="00263334">
      <w:r>
        <w:separator/>
      </w:r>
    </w:p>
  </w:endnote>
  <w:endnote w:type="continuationSeparator" w:id="0">
    <w:p w:rsidR="00263334" w:rsidRDefault="002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334" w:rsidRDefault="00263334" w:rsidP="00307B2F">
    <w:pPr>
      <w:pStyle w:val="ISEFooterGreen"/>
    </w:pPr>
    <w:r w:rsidRPr="00F315CD">
      <w:rPr>
        <w:noProof/>
        <w:lang w:val="en-IE" w:eastAsia="en-IE"/>
      </w:rPr>
      <mc:AlternateContent>
        <mc:Choice Requires="wps">
          <w:drawing>
            <wp:anchor distT="0" distB="0" distL="114300" distR="114300" simplePos="0" relativeHeight="251659776"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34" w:rsidRPr="003170E2" w:rsidRDefault="00263334" w:rsidP="00307B2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A2250">
                            <w:rPr>
                              <w:noProof/>
                              <w:color w:val="auto"/>
                            </w:rPr>
                            <w:t>4</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A2250">
                            <w:rPr>
                              <w:b w:val="0"/>
                              <w:noProof/>
                            </w:rPr>
                            <w:t>6</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T6rAIAAKk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" filled="f" stroked="f">
              <v:textbox inset="0,0,0,0">
                <w:txbxContent>
                  <w:p w:rsidR="00263334" w:rsidRPr="003170E2" w:rsidRDefault="00263334" w:rsidP="00307B2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A2250">
                      <w:rPr>
                        <w:noProof/>
                        <w:color w:val="auto"/>
                      </w:rPr>
                      <w:t>4</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A2250">
                      <w:rPr>
                        <w:b w:val="0"/>
                        <w:noProof/>
                      </w:rPr>
                      <w:t>6</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295F8B" w:rsidRPr="00D53279">
        <w:rPr>
          <w:rStyle w:val="Hyperlink"/>
        </w:rPr>
        <w:t>equity@euronext.com</w:t>
      </w:r>
    </w:hyperlink>
    <w:r w:rsidRPr="00F315CD">
      <w:t xml:space="preserve"> in PDF form</w:t>
    </w:r>
  </w:p>
  <w:p w:rsidR="00263334" w:rsidRPr="00F315CD" w:rsidRDefault="00263334" w:rsidP="00307B2F">
    <w:pPr>
      <w:pStyle w:val="ISEFooterGre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334" w:rsidRPr="00F67BF7" w:rsidRDefault="00263334" w:rsidP="00307B2F">
    <w:pPr>
      <w:pStyle w:val="ISEFooterGreen"/>
      <w:rPr>
        <w:rFonts w:asciiTheme="minorHAnsi" w:hAnsiTheme="minorHAnsi"/>
        <w:sz w:val="18"/>
        <w:szCs w:val="18"/>
      </w:rPr>
    </w:pPr>
    <w:r w:rsidRPr="00F67BF7">
      <w:rPr>
        <w:rFonts w:asciiTheme="minorHAnsi" w:hAnsiTheme="minorHAnsi"/>
        <w:noProof/>
        <w:sz w:val="18"/>
        <w:szCs w:val="18"/>
        <w:lang w:val="en-IE" w:eastAsia="en-IE"/>
      </w:rPr>
      <mc:AlternateContent>
        <mc:Choice Requires="wps">
          <w:drawing>
            <wp:anchor distT="0" distB="0" distL="114300" distR="114300" simplePos="0" relativeHeight="251658752"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34" w:rsidRPr="003170E2" w:rsidRDefault="00263334" w:rsidP="00307B2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A2250">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A2250">
                            <w:rPr>
                              <w:b w:val="0"/>
                              <w:noProof/>
                            </w:rPr>
                            <w:t>6</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51.05pt;margin-top:798.65pt;width:39.7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atrQIAALA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" filled="f" stroked="f">
              <v:textbox inset="0,0,0,0">
                <w:txbxContent>
                  <w:p w:rsidR="00263334" w:rsidRPr="003170E2" w:rsidRDefault="00263334" w:rsidP="00307B2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A2250">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A2250">
                      <w:rPr>
                        <w:b w:val="0"/>
                        <w:noProof/>
                      </w:rPr>
                      <w:t>6</w:t>
                    </w:r>
                    <w:r w:rsidRPr="003170E2">
                      <w:rPr>
                        <w:b w:val="0"/>
                      </w:rPr>
                      <w:fldChar w:fldCharType="end"/>
                    </w:r>
                  </w:p>
                </w:txbxContent>
              </v:textbox>
              <w10:wrap anchorx="page" anchory="page"/>
              <w10:anchorlock/>
            </v:shape>
          </w:pict>
        </mc:Fallback>
      </mc:AlternateContent>
    </w:r>
    <w:r w:rsidRPr="00F67BF7">
      <w:rPr>
        <w:rFonts w:asciiTheme="minorHAnsi" w:hAnsiTheme="minorHAnsi"/>
        <w:sz w:val="18"/>
        <w:szCs w:val="18"/>
      </w:rPr>
      <w:t xml:space="preserve">Submit completed form to </w:t>
    </w:r>
    <w:hyperlink r:id="rId1" w:history="1">
      <w:r w:rsidRPr="00D53279">
        <w:rPr>
          <w:rStyle w:val="Hyperlink"/>
          <w:rFonts w:asciiTheme="minorHAnsi" w:hAnsiTheme="minorHAnsi"/>
          <w:sz w:val="18"/>
          <w:szCs w:val="18"/>
        </w:rPr>
        <w:t>equity@euronext.com</w:t>
      </w:r>
    </w:hyperlink>
    <w:r w:rsidRPr="00F67BF7">
      <w:rPr>
        <w:rFonts w:asciiTheme="minorHAnsi" w:hAnsiTheme="minorHAnsi"/>
        <w:sz w:val="18"/>
        <w:szCs w:val="18"/>
      </w:rPr>
      <w:t xml:space="preserve"> in PDF form</w:t>
    </w:r>
  </w:p>
  <w:p w:rsidR="00263334" w:rsidRPr="00F315CD" w:rsidRDefault="00263334" w:rsidP="00307B2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334" w:rsidRDefault="00263334">
      <w:r>
        <w:separator/>
      </w:r>
    </w:p>
  </w:footnote>
  <w:footnote w:type="continuationSeparator" w:id="0">
    <w:p w:rsidR="00263334" w:rsidRDefault="0026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334" w:rsidRPr="00F67BF7" w:rsidRDefault="00263334" w:rsidP="00997F5A">
    <w:pPr>
      <w:pStyle w:val="ISEHeader"/>
      <w:rPr>
        <w:rFonts w:asciiTheme="minorHAnsi" w:hAnsiTheme="minorHAnsi"/>
        <w:sz w:val="18"/>
        <w:szCs w:val="18"/>
      </w:rPr>
    </w:pPr>
    <w:r w:rsidRPr="00F67BF7">
      <w:rPr>
        <w:rFonts w:asciiTheme="minorHAnsi" w:hAnsiTheme="minorHAnsi"/>
        <w:noProof/>
        <w:sz w:val="18"/>
        <w:szCs w:val="18"/>
        <w:lang w:val="en-IE" w:eastAsia="en-IE"/>
      </w:rPr>
      <mc:AlternateContent>
        <mc:Choice Requires="wps">
          <w:drawing>
            <wp:anchor distT="0" distB="0" distL="114300" distR="114300" simplePos="0" relativeHeight="251656704" behindDoc="0" locked="1" layoutInCell="1" allowOverlap="1">
              <wp:simplePos x="0" y="0"/>
              <wp:positionH relativeFrom="page">
                <wp:posOffset>1423035</wp:posOffset>
              </wp:positionH>
              <wp:positionV relativeFrom="page">
                <wp:posOffset>440055</wp:posOffset>
              </wp:positionV>
              <wp:extent cx="5328285" cy="0"/>
              <wp:effectExtent l="13335" t="11430" r="1143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07843" id="Line 1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Jnv9i4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Pr="00F67BF7">
      <w:rPr>
        <w:rFonts w:asciiTheme="minorHAnsi" w:hAnsiTheme="minorHAnsi"/>
        <w:noProof/>
        <w:sz w:val="18"/>
        <w:szCs w:val="18"/>
      </w:rPr>
      <w:t>Euronext Dublin</w:t>
    </w:r>
    <w:r w:rsidRPr="00F67BF7">
      <w:rPr>
        <w:rFonts w:asciiTheme="minorHAnsi" w:hAnsiTheme="minorHAnsi"/>
        <w:sz w:val="18"/>
        <w:szCs w:val="18"/>
      </w:rPr>
      <w:t xml:space="preserve"> – Listing Conditions–Primary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334" w:rsidRDefault="00263334">
    <w:r>
      <w:rPr>
        <w:rFonts w:ascii="Arial" w:hAnsi="Arial" w:cs="Arial"/>
        <w:noProof/>
        <w:color w:val="44546A"/>
        <w:sz w:val="20"/>
        <w:szCs w:val="20"/>
        <w:lang w:val="en-IE" w:eastAsia="en-IE"/>
      </w:rPr>
      <w:drawing>
        <wp:inline distT="0" distB="0" distL="0" distR="0">
          <wp:extent cx="2517775" cy="1080770"/>
          <wp:effectExtent l="0" t="0" r="0" b="5080"/>
          <wp:docPr id="4"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777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07A5677"/>
    <w:multiLevelType w:val="hybridMultilevel"/>
    <w:tmpl w:val="E9305284"/>
    <w:lvl w:ilvl="0" w:tplc="23A24C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8"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0"/>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RE3VtBkN9jLds6MKGtIgUcxV61W53lYUg29oLEj2hI7A8nEf+4xaASEiywjs62RSwF6ZAHPpzZ7nHc4LBEQ==" w:salt="SR48VQrMjlGVWuLtSz8srQ=="/>
  <w:defaultTabStop w:val="720"/>
  <w:characterSpacingControl w:val="doNotCompress"/>
  <w:hdrShapeDefaults>
    <o:shapedefaults v:ext="edit" spidmax="14337"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D1"/>
    <w:rsid w:val="00002621"/>
    <w:rsid w:val="000135CC"/>
    <w:rsid w:val="0001361F"/>
    <w:rsid w:val="00017EBB"/>
    <w:rsid w:val="000245A5"/>
    <w:rsid w:val="00024990"/>
    <w:rsid w:val="00043D18"/>
    <w:rsid w:val="00074687"/>
    <w:rsid w:val="00083824"/>
    <w:rsid w:val="00094D7E"/>
    <w:rsid w:val="000A517D"/>
    <w:rsid w:val="000A709A"/>
    <w:rsid w:val="000B64A6"/>
    <w:rsid w:val="000B7D10"/>
    <w:rsid w:val="000E1743"/>
    <w:rsid w:val="000E6AB2"/>
    <w:rsid w:val="000F708A"/>
    <w:rsid w:val="00105A3F"/>
    <w:rsid w:val="00126FD2"/>
    <w:rsid w:val="001441FD"/>
    <w:rsid w:val="001552BA"/>
    <w:rsid w:val="00167893"/>
    <w:rsid w:val="001717F8"/>
    <w:rsid w:val="001739E6"/>
    <w:rsid w:val="001840F9"/>
    <w:rsid w:val="0018419F"/>
    <w:rsid w:val="00186F95"/>
    <w:rsid w:val="001969A8"/>
    <w:rsid w:val="001A26DA"/>
    <w:rsid w:val="001B5A40"/>
    <w:rsid w:val="001B791B"/>
    <w:rsid w:val="001C6E25"/>
    <w:rsid w:val="001E2340"/>
    <w:rsid w:val="001F67ED"/>
    <w:rsid w:val="001F6DA6"/>
    <w:rsid w:val="002142CC"/>
    <w:rsid w:val="00221430"/>
    <w:rsid w:val="00221B86"/>
    <w:rsid w:val="0022342B"/>
    <w:rsid w:val="0022507F"/>
    <w:rsid w:val="002562CF"/>
    <w:rsid w:val="00263334"/>
    <w:rsid w:val="00265A1B"/>
    <w:rsid w:val="00286618"/>
    <w:rsid w:val="002945EF"/>
    <w:rsid w:val="00295F8B"/>
    <w:rsid w:val="002A1F49"/>
    <w:rsid w:val="002A29EF"/>
    <w:rsid w:val="002B4EF1"/>
    <w:rsid w:val="002C2132"/>
    <w:rsid w:val="002E3DD3"/>
    <w:rsid w:val="002E6385"/>
    <w:rsid w:val="002E735D"/>
    <w:rsid w:val="002E776D"/>
    <w:rsid w:val="002E7EF7"/>
    <w:rsid w:val="002F50A2"/>
    <w:rsid w:val="00303828"/>
    <w:rsid w:val="00307B2F"/>
    <w:rsid w:val="00312A4D"/>
    <w:rsid w:val="003170E2"/>
    <w:rsid w:val="003257D8"/>
    <w:rsid w:val="003416AD"/>
    <w:rsid w:val="00345BEB"/>
    <w:rsid w:val="00363344"/>
    <w:rsid w:val="0037598C"/>
    <w:rsid w:val="00383350"/>
    <w:rsid w:val="0038588D"/>
    <w:rsid w:val="003A773D"/>
    <w:rsid w:val="003B50B9"/>
    <w:rsid w:val="003C16F6"/>
    <w:rsid w:val="003C1FD7"/>
    <w:rsid w:val="003D077E"/>
    <w:rsid w:val="003D0CEA"/>
    <w:rsid w:val="003D3C0E"/>
    <w:rsid w:val="003D44D3"/>
    <w:rsid w:val="003E492B"/>
    <w:rsid w:val="003F2992"/>
    <w:rsid w:val="003F4349"/>
    <w:rsid w:val="003F5185"/>
    <w:rsid w:val="003F656E"/>
    <w:rsid w:val="00417F48"/>
    <w:rsid w:val="004343E2"/>
    <w:rsid w:val="00434AC4"/>
    <w:rsid w:val="00434B9E"/>
    <w:rsid w:val="00440179"/>
    <w:rsid w:val="004509B3"/>
    <w:rsid w:val="0045243E"/>
    <w:rsid w:val="00457983"/>
    <w:rsid w:val="00463902"/>
    <w:rsid w:val="00464BBC"/>
    <w:rsid w:val="00471FAC"/>
    <w:rsid w:val="004815D8"/>
    <w:rsid w:val="00483AB1"/>
    <w:rsid w:val="004866D0"/>
    <w:rsid w:val="004929A7"/>
    <w:rsid w:val="004A02B7"/>
    <w:rsid w:val="004A3736"/>
    <w:rsid w:val="004B06CC"/>
    <w:rsid w:val="004E3735"/>
    <w:rsid w:val="004E6781"/>
    <w:rsid w:val="0050289A"/>
    <w:rsid w:val="0050294F"/>
    <w:rsid w:val="00526DC5"/>
    <w:rsid w:val="00543074"/>
    <w:rsid w:val="0055193D"/>
    <w:rsid w:val="005653CC"/>
    <w:rsid w:val="00567DB3"/>
    <w:rsid w:val="0057046C"/>
    <w:rsid w:val="00584B18"/>
    <w:rsid w:val="005955CB"/>
    <w:rsid w:val="005A109E"/>
    <w:rsid w:val="005B7EB6"/>
    <w:rsid w:val="005C6DAF"/>
    <w:rsid w:val="005E0208"/>
    <w:rsid w:val="005E0EA2"/>
    <w:rsid w:val="005F4EAD"/>
    <w:rsid w:val="00606F45"/>
    <w:rsid w:val="00625DCA"/>
    <w:rsid w:val="00632D03"/>
    <w:rsid w:val="00641928"/>
    <w:rsid w:val="006425C1"/>
    <w:rsid w:val="006454F5"/>
    <w:rsid w:val="00655098"/>
    <w:rsid w:val="006615BB"/>
    <w:rsid w:val="0067428C"/>
    <w:rsid w:val="0068030E"/>
    <w:rsid w:val="0068784F"/>
    <w:rsid w:val="006957FC"/>
    <w:rsid w:val="00695839"/>
    <w:rsid w:val="006A0C8D"/>
    <w:rsid w:val="006B7EBE"/>
    <w:rsid w:val="006D025D"/>
    <w:rsid w:val="006D2C9A"/>
    <w:rsid w:val="006D777A"/>
    <w:rsid w:val="006E6160"/>
    <w:rsid w:val="006F23CA"/>
    <w:rsid w:val="006F28A1"/>
    <w:rsid w:val="006F7A01"/>
    <w:rsid w:val="00700EA2"/>
    <w:rsid w:val="00703160"/>
    <w:rsid w:val="007075BF"/>
    <w:rsid w:val="00713528"/>
    <w:rsid w:val="0071484D"/>
    <w:rsid w:val="00730A3F"/>
    <w:rsid w:val="00742873"/>
    <w:rsid w:val="00750E65"/>
    <w:rsid w:val="00757748"/>
    <w:rsid w:val="0077156C"/>
    <w:rsid w:val="0077409E"/>
    <w:rsid w:val="0078186F"/>
    <w:rsid w:val="007910C9"/>
    <w:rsid w:val="007922EB"/>
    <w:rsid w:val="007A3804"/>
    <w:rsid w:val="007A5592"/>
    <w:rsid w:val="007B040B"/>
    <w:rsid w:val="007B4E00"/>
    <w:rsid w:val="007B7ECF"/>
    <w:rsid w:val="007C041F"/>
    <w:rsid w:val="007C75B2"/>
    <w:rsid w:val="007C7CE4"/>
    <w:rsid w:val="007D0A8B"/>
    <w:rsid w:val="007E558C"/>
    <w:rsid w:val="007F371C"/>
    <w:rsid w:val="007F73DD"/>
    <w:rsid w:val="0081714C"/>
    <w:rsid w:val="00830D30"/>
    <w:rsid w:val="00834FD1"/>
    <w:rsid w:val="00844F10"/>
    <w:rsid w:val="00847B3E"/>
    <w:rsid w:val="008503FC"/>
    <w:rsid w:val="00857D32"/>
    <w:rsid w:val="00870631"/>
    <w:rsid w:val="008854EE"/>
    <w:rsid w:val="0089090E"/>
    <w:rsid w:val="00893DC1"/>
    <w:rsid w:val="008C43D3"/>
    <w:rsid w:val="008E2FE9"/>
    <w:rsid w:val="008E5B5B"/>
    <w:rsid w:val="008F3B05"/>
    <w:rsid w:val="009144D0"/>
    <w:rsid w:val="009147D0"/>
    <w:rsid w:val="00915AF1"/>
    <w:rsid w:val="00926411"/>
    <w:rsid w:val="00934658"/>
    <w:rsid w:val="00970147"/>
    <w:rsid w:val="009722FE"/>
    <w:rsid w:val="009765B5"/>
    <w:rsid w:val="00981F05"/>
    <w:rsid w:val="00997F5A"/>
    <w:rsid w:val="009A2250"/>
    <w:rsid w:val="009B3AE3"/>
    <w:rsid w:val="009C03D5"/>
    <w:rsid w:val="009C05F7"/>
    <w:rsid w:val="009C19EF"/>
    <w:rsid w:val="009D135F"/>
    <w:rsid w:val="009D7030"/>
    <w:rsid w:val="009E120D"/>
    <w:rsid w:val="009E2AF0"/>
    <w:rsid w:val="009E6FAF"/>
    <w:rsid w:val="009F11C0"/>
    <w:rsid w:val="00A05358"/>
    <w:rsid w:val="00A267B1"/>
    <w:rsid w:val="00A26D2E"/>
    <w:rsid w:val="00A30AD7"/>
    <w:rsid w:val="00A35F9A"/>
    <w:rsid w:val="00A3750F"/>
    <w:rsid w:val="00A45DC0"/>
    <w:rsid w:val="00A47724"/>
    <w:rsid w:val="00A74F8D"/>
    <w:rsid w:val="00A75364"/>
    <w:rsid w:val="00A75F80"/>
    <w:rsid w:val="00A76FF3"/>
    <w:rsid w:val="00A833C9"/>
    <w:rsid w:val="00AA3210"/>
    <w:rsid w:val="00AB0B5B"/>
    <w:rsid w:val="00AB57F4"/>
    <w:rsid w:val="00AC7C58"/>
    <w:rsid w:val="00AD2A00"/>
    <w:rsid w:val="00B02A91"/>
    <w:rsid w:val="00B03847"/>
    <w:rsid w:val="00B04608"/>
    <w:rsid w:val="00B15BA4"/>
    <w:rsid w:val="00B21399"/>
    <w:rsid w:val="00B304F4"/>
    <w:rsid w:val="00B31963"/>
    <w:rsid w:val="00B3729B"/>
    <w:rsid w:val="00B410C3"/>
    <w:rsid w:val="00B43C54"/>
    <w:rsid w:val="00B673C1"/>
    <w:rsid w:val="00B74AE6"/>
    <w:rsid w:val="00B8151D"/>
    <w:rsid w:val="00B8186D"/>
    <w:rsid w:val="00B833B7"/>
    <w:rsid w:val="00B906DC"/>
    <w:rsid w:val="00B923FD"/>
    <w:rsid w:val="00B94130"/>
    <w:rsid w:val="00B953C3"/>
    <w:rsid w:val="00BC2E01"/>
    <w:rsid w:val="00BC437B"/>
    <w:rsid w:val="00BE4A50"/>
    <w:rsid w:val="00BE5511"/>
    <w:rsid w:val="00BF1D86"/>
    <w:rsid w:val="00C11FFF"/>
    <w:rsid w:val="00C13BF4"/>
    <w:rsid w:val="00C144BE"/>
    <w:rsid w:val="00C216A5"/>
    <w:rsid w:val="00C314A5"/>
    <w:rsid w:val="00C401E3"/>
    <w:rsid w:val="00C44BF0"/>
    <w:rsid w:val="00C501D2"/>
    <w:rsid w:val="00C506D6"/>
    <w:rsid w:val="00C507BA"/>
    <w:rsid w:val="00C51FA7"/>
    <w:rsid w:val="00C6061B"/>
    <w:rsid w:val="00C6522E"/>
    <w:rsid w:val="00C6682A"/>
    <w:rsid w:val="00C70C07"/>
    <w:rsid w:val="00C72254"/>
    <w:rsid w:val="00C730E6"/>
    <w:rsid w:val="00C90072"/>
    <w:rsid w:val="00CB3CE5"/>
    <w:rsid w:val="00CB7011"/>
    <w:rsid w:val="00CC0967"/>
    <w:rsid w:val="00CC5837"/>
    <w:rsid w:val="00CC65F3"/>
    <w:rsid w:val="00CF34BE"/>
    <w:rsid w:val="00D01E2A"/>
    <w:rsid w:val="00D107D5"/>
    <w:rsid w:val="00D112EB"/>
    <w:rsid w:val="00D13B5D"/>
    <w:rsid w:val="00D20A7B"/>
    <w:rsid w:val="00D3247C"/>
    <w:rsid w:val="00D45888"/>
    <w:rsid w:val="00D51062"/>
    <w:rsid w:val="00D51C15"/>
    <w:rsid w:val="00D565E7"/>
    <w:rsid w:val="00D65E7B"/>
    <w:rsid w:val="00D72706"/>
    <w:rsid w:val="00D72E4D"/>
    <w:rsid w:val="00D7438D"/>
    <w:rsid w:val="00D76DBE"/>
    <w:rsid w:val="00D83CB7"/>
    <w:rsid w:val="00DA35B8"/>
    <w:rsid w:val="00DA4746"/>
    <w:rsid w:val="00DA6246"/>
    <w:rsid w:val="00DB49E7"/>
    <w:rsid w:val="00DF1832"/>
    <w:rsid w:val="00DF610C"/>
    <w:rsid w:val="00E077D8"/>
    <w:rsid w:val="00E07F83"/>
    <w:rsid w:val="00E14CE3"/>
    <w:rsid w:val="00E35F31"/>
    <w:rsid w:val="00E41E01"/>
    <w:rsid w:val="00E52AD0"/>
    <w:rsid w:val="00E53D74"/>
    <w:rsid w:val="00E54900"/>
    <w:rsid w:val="00E62283"/>
    <w:rsid w:val="00E627B6"/>
    <w:rsid w:val="00E76687"/>
    <w:rsid w:val="00E86CEA"/>
    <w:rsid w:val="00E96E9B"/>
    <w:rsid w:val="00EA2EED"/>
    <w:rsid w:val="00EA747F"/>
    <w:rsid w:val="00EB6DEF"/>
    <w:rsid w:val="00EB7294"/>
    <w:rsid w:val="00EB7AF7"/>
    <w:rsid w:val="00ED3221"/>
    <w:rsid w:val="00ED5272"/>
    <w:rsid w:val="00ED6E61"/>
    <w:rsid w:val="00EE5FAE"/>
    <w:rsid w:val="00EE6EE2"/>
    <w:rsid w:val="00EE7BA6"/>
    <w:rsid w:val="00EF49C1"/>
    <w:rsid w:val="00EF6F89"/>
    <w:rsid w:val="00F01419"/>
    <w:rsid w:val="00F02DC5"/>
    <w:rsid w:val="00F06DA8"/>
    <w:rsid w:val="00F204F9"/>
    <w:rsid w:val="00F20517"/>
    <w:rsid w:val="00F2598A"/>
    <w:rsid w:val="00F27DD8"/>
    <w:rsid w:val="00F30536"/>
    <w:rsid w:val="00F315CD"/>
    <w:rsid w:val="00F52E77"/>
    <w:rsid w:val="00F67BF7"/>
    <w:rsid w:val="00F7331B"/>
    <w:rsid w:val="00F75C20"/>
    <w:rsid w:val="00F818FC"/>
    <w:rsid w:val="00F94651"/>
    <w:rsid w:val="00F95D44"/>
    <w:rsid w:val="00F97D5B"/>
    <w:rsid w:val="00FB24DB"/>
    <w:rsid w:val="00FC172A"/>
    <w:rsid w:val="00FC453B"/>
    <w:rsid w:val="00FE075C"/>
    <w:rsid w:val="00FE3E74"/>
    <w:rsid w:val="00FF28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1D36A336"/>
  <w15:chartTrackingRefBased/>
  <w15:docId w15:val="{1869F0C6-37FE-4881-93FA-69EDD38F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aliases w:val="Lev 1,Section"/>
    <w:basedOn w:val="Normal"/>
    <w:link w:val="Heading1Char"/>
    <w:qFormat/>
    <w:rsid w:val="009E2AF0"/>
    <w:pPr>
      <w:spacing w:after="240"/>
      <w:outlineLvl w:val="0"/>
    </w:pPr>
    <w:rPr>
      <w:snapToGrid w:val="0"/>
      <w:szCs w:val="20"/>
      <w:lang w:val="en-GB" w:eastAsia="en-GB"/>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link w:val="FooterChar"/>
    <w:uiPriority w:val="99"/>
    <w:rsid w:val="009C03D5"/>
    <w:pPr>
      <w:tabs>
        <w:tab w:val="center" w:pos="4320"/>
        <w:tab w:val="right" w:pos="8640"/>
      </w:tabs>
    </w:pPr>
  </w:style>
  <w:style w:type="paragraph" w:styleId="Header">
    <w:name w:val="header"/>
    <w:basedOn w:val="Normal"/>
    <w:rsid w:val="00AB0B5B"/>
    <w:pPr>
      <w:tabs>
        <w:tab w:val="center" w:pos="4153"/>
        <w:tab w:val="right" w:pos="8306"/>
      </w:tabs>
    </w:pPr>
    <w:rPr>
      <w:szCs w:val="20"/>
      <w:lang w:val="en-IE" w:eastAsia="zh-TW"/>
    </w:rPr>
  </w:style>
  <w:style w:type="character" w:styleId="Hyperlink">
    <w:name w:val="Hyperlink"/>
    <w:uiPriority w:val="99"/>
    <w:rsid w:val="002E776D"/>
    <w:rPr>
      <w:color w:val="0000FF"/>
      <w:u w:val="single"/>
    </w:rPr>
  </w:style>
  <w:style w:type="paragraph" w:styleId="BodyTextIndent">
    <w:name w:val="Body Text Indent"/>
    <w:basedOn w:val="Normal"/>
    <w:rsid w:val="009D7030"/>
    <w:pPr>
      <w:spacing w:after="120"/>
      <w:ind w:left="283"/>
    </w:pPr>
  </w:style>
  <w:style w:type="paragraph" w:styleId="BodyText">
    <w:name w:val="Body Text"/>
    <w:basedOn w:val="Normal"/>
    <w:rsid w:val="00F52E77"/>
    <w:rPr>
      <w:b/>
      <w:szCs w:val="20"/>
      <w:lang w:eastAsia="zh-TW"/>
    </w:rPr>
  </w:style>
  <w:style w:type="paragraph" w:styleId="BodyText2">
    <w:name w:val="Body Text 2"/>
    <w:basedOn w:val="Normal"/>
    <w:rsid w:val="000B64A6"/>
    <w:pPr>
      <w:spacing w:after="120" w:line="480" w:lineRule="auto"/>
    </w:pPr>
  </w:style>
  <w:style w:type="paragraph" w:styleId="BalloonText">
    <w:name w:val="Balloon Text"/>
    <w:basedOn w:val="Normal"/>
    <w:link w:val="BalloonTextChar"/>
    <w:rsid w:val="006F7A01"/>
    <w:rPr>
      <w:rFonts w:ascii="Segoe UI" w:hAnsi="Segoe UI" w:cs="Segoe UI"/>
      <w:sz w:val="18"/>
      <w:szCs w:val="18"/>
    </w:rPr>
  </w:style>
  <w:style w:type="character" w:customStyle="1" w:styleId="BalloonTextChar">
    <w:name w:val="Balloon Text Char"/>
    <w:basedOn w:val="DefaultParagraphFont"/>
    <w:link w:val="BalloonText"/>
    <w:rsid w:val="006F7A01"/>
    <w:rPr>
      <w:rFonts w:ascii="Segoe UI" w:hAnsi="Segoe UI" w:cs="Segoe UI"/>
      <w:sz w:val="18"/>
      <w:szCs w:val="18"/>
      <w:lang w:val="en-US" w:eastAsia="en-US"/>
    </w:rPr>
  </w:style>
  <w:style w:type="character" w:customStyle="1" w:styleId="FooterChar">
    <w:name w:val="Footer Char"/>
    <w:link w:val="Footer"/>
    <w:uiPriority w:val="99"/>
    <w:rsid w:val="00083824"/>
    <w:rPr>
      <w:sz w:val="24"/>
      <w:szCs w:val="24"/>
      <w:lang w:val="en-US" w:eastAsia="en-US"/>
    </w:rPr>
  </w:style>
  <w:style w:type="character" w:customStyle="1" w:styleId="Heading1Char">
    <w:name w:val="Heading 1 Char"/>
    <w:aliases w:val="Lev 1 Char,Section Char"/>
    <w:basedOn w:val="DefaultParagraphFont"/>
    <w:link w:val="Heading1"/>
    <w:rsid w:val="009E2AF0"/>
    <w:rPr>
      <w:snapToGrid w:val="0"/>
      <w:sz w:val="24"/>
      <w:lang w:val="en-GB" w:eastAsia="en-GB"/>
    </w:rPr>
  </w:style>
  <w:style w:type="character" w:styleId="UnresolvedMention">
    <w:name w:val="Unresolved Mention"/>
    <w:basedOn w:val="DefaultParagraphFont"/>
    <w:uiPriority w:val="99"/>
    <w:semiHidden/>
    <w:unhideWhenUsed/>
    <w:rsid w:val="002633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7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Checklists\Equity%20Listing%20Checklists\Euronext%20Checklists\Listing-Conditions-ISE-Primary-Checklis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Listing-Conditions-ISE-Primary-Checklist (new)</Template>
  <TotalTime>145</TotalTime>
  <Pages>6</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Listing Conditions - Primary Checklist</vt:lpstr>
    </vt:vector>
  </TitlesOfParts>
  <Company>Valerie Haslam Design</Company>
  <LinksUpToDate>false</LinksUpToDate>
  <CharactersWithSpaces>8670</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Listing Conditions - Primary Checklist</dc:title>
  <dc:subject/>
  <dc:creator>McArdle, Aisling</dc:creator>
  <cp:keywords/>
  <cp:lastModifiedBy>Therese Moore</cp:lastModifiedBy>
  <cp:revision>8</cp:revision>
  <cp:lastPrinted>2019-03-25T14:57:00Z</cp:lastPrinted>
  <dcterms:created xsi:type="dcterms:W3CDTF">2019-02-06T17:00:00Z</dcterms:created>
  <dcterms:modified xsi:type="dcterms:W3CDTF">2019-05-14T13:47:00Z</dcterms:modified>
</cp:coreProperties>
</file>