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97F7" w14:textId="77777777" w:rsidR="001B7340" w:rsidRDefault="001B7340" w:rsidP="001B7340">
      <w:pPr>
        <w:pStyle w:val="GenericHeading"/>
        <w:rPr>
          <w:lang w:val="it-IT"/>
        </w:rPr>
      </w:pPr>
      <w:r>
        <w:rPr>
          <w:lang w:val="it-IT"/>
        </w:rPr>
        <w:t>Condizioni Generali Parte II</w:t>
      </w:r>
    </w:p>
    <w:p w14:paraId="018388B2" w14:textId="77777777" w:rsidR="001B7340" w:rsidRDefault="001B7340" w:rsidP="001B7340">
      <w:pPr>
        <w:pStyle w:val="GenericHeading"/>
        <w:rPr>
          <w:lang w:val="it-IT"/>
        </w:rPr>
      </w:pPr>
      <w:r>
        <w:rPr>
          <w:lang w:val="it-IT"/>
        </w:rPr>
        <w:t>Connessione telematica</w:t>
      </w:r>
    </w:p>
    <w:p w14:paraId="2E1FBD5A" w14:textId="77777777" w:rsidR="001B7340" w:rsidRDefault="001B7340" w:rsidP="000143C4">
      <w:pPr>
        <w:pStyle w:val="BodyText1"/>
        <w:spacing w:after="0"/>
        <w:ind w:left="0"/>
        <w:rPr>
          <w:b/>
          <w:lang w:val="it-IT"/>
        </w:rPr>
      </w:pPr>
      <w:r>
        <w:rPr>
          <w:b/>
          <w:lang w:val="it-IT"/>
        </w:rPr>
        <w:t>1. – DEFINIZIONI</w:t>
      </w:r>
    </w:p>
    <w:p w14:paraId="12AFF161" w14:textId="77777777" w:rsidR="001B7340" w:rsidRDefault="001B7340" w:rsidP="000143C4">
      <w:pPr>
        <w:pStyle w:val="BodyText1"/>
        <w:spacing w:after="0"/>
        <w:ind w:left="0"/>
        <w:rPr>
          <w:b/>
          <w:lang w:val="it-IT"/>
        </w:rPr>
      </w:pPr>
    </w:p>
    <w:p w14:paraId="02CBC064" w14:textId="75CD5812" w:rsidR="001B7340" w:rsidRDefault="001B7340" w:rsidP="000143C4">
      <w:pPr>
        <w:pStyle w:val="BodyText1"/>
        <w:spacing w:after="0"/>
        <w:ind w:left="0"/>
        <w:rPr>
          <w:lang w:val="it-IT"/>
        </w:rPr>
      </w:pPr>
      <w:r>
        <w:rPr>
          <w:b/>
          <w:lang w:val="it-IT"/>
        </w:rPr>
        <w:t>1.1 “</w:t>
      </w:r>
      <w:r>
        <w:rPr>
          <w:b/>
          <w:i/>
          <w:lang w:val="it-IT"/>
        </w:rPr>
        <w:t>Centri Servizi”</w:t>
      </w:r>
      <w:r>
        <w:rPr>
          <w:lang w:val="it-IT"/>
        </w:rPr>
        <w:t xml:space="preserve">: per centro servizi si intende un soggetto cui uno o più emittenti o intermediari partecipanti ai servizi di Monte Titoli </w:t>
      </w:r>
      <w:r w:rsidR="00DD586A">
        <w:rPr>
          <w:lang w:val="it-IT"/>
        </w:rPr>
        <w:t xml:space="preserve">(da qui in poi anche chiamata </w:t>
      </w:r>
      <w:r w:rsidR="000606DF">
        <w:rPr>
          <w:lang w:val="it-IT"/>
        </w:rPr>
        <w:t>‘</w:t>
      </w:r>
      <w:r w:rsidR="00AB2F23">
        <w:rPr>
          <w:lang w:val="it-IT"/>
        </w:rPr>
        <w:t>Euronext Securities Milan</w:t>
      </w:r>
      <w:r w:rsidR="000C2300">
        <w:rPr>
          <w:lang w:val="it-IT"/>
        </w:rPr>
        <w:t>’</w:t>
      </w:r>
      <w:r w:rsidR="00DD586A">
        <w:rPr>
          <w:lang w:val="it-IT"/>
        </w:rPr>
        <w:t xml:space="preserve">) </w:t>
      </w:r>
      <w:r>
        <w:rPr>
          <w:lang w:val="it-IT"/>
        </w:rPr>
        <w:t xml:space="preserve">possono delegare la gestione di specifiche funzioni operative inerenti alla partecipazione al Servizio di Notariato, di Tenuta Centralizzata dei Conti e relativi servizi accessori sulla base di apposito mandato operativo redatto secondo il  modello predisposto da </w:t>
      </w:r>
      <w:r w:rsidR="00AB2F23">
        <w:rPr>
          <w:lang w:val="it-IT"/>
        </w:rPr>
        <w:t>Euronext Securities Milan</w:t>
      </w:r>
      <w:r>
        <w:rPr>
          <w:lang w:val="it-IT"/>
        </w:rPr>
        <w:t>.</w:t>
      </w:r>
    </w:p>
    <w:p w14:paraId="0A66609B" w14:textId="77777777" w:rsidR="00216E19" w:rsidRDefault="00216E19" w:rsidP="000143C4">
      <w:pPr>
        <w:pStyle w:val="BodyText1"/>
        <w:spacing w:after="0"/>
        <w:ind w:left="0"/>
        <w:rPr>
          <w:lang w:val="it-IT"/>
        </w:rPr>
      </w:pPr>
    </w:p>
    <w:p w14:paraId="5DA06340" w14:textId="0EA2FEDD" w:rsidR="001B7340" w:rsidRDefault="001B7340" w:rsidP="000143C4">
      <w:pPr>
        <w:pStyle w:val="BodyText1"/>
        <w:spacing w:after="0"/>
        <w:ind w:left="0"/>
        <w:rPr>
          <w:lang w:val="it-IT"/>
        </w:rPr>
      </w:pPr>
      <w:r w:rsidRPr="003B276D">
        <w:rPr>
          <w:b/>
          <w:bCs/>
          <w:lang w:val="it-IT"/>
        </w:rPr>
        <w:t>1.2 “</w:t>
      </w:r>
      <w:r>
        <w:rPr>
          <w:b/>
          <w:bCs/>
          <w:lang w:val="it-IT"/>
        </w:rPr>
        <w:t>Aderente A2A</w:t>
      </w:r>
      <w:r>
        <w:rPr>
          <w:lang w:val="it-IT"/>
        </w:rPr>
        <w:t xml:space="preserve">”: indica un soggetto che richiede  a </w:t>
      </w:r>
      <w:r w:rsidR="00AB2F23">
        <w:rPr>
          <w:lang w:val="it-IT"/>
        </w:rPr>
        <w:t>Euronext Securities Milan</w:t>
      </w:r>
      <w:r>
        <w:rPr>
          <w:lang w:val="it-IT"/>
        </w:rPr>
        <w:t xml:space="preserve"> l’abilitazione della connessione telematica A2A per consentire ad un partecipante del Servizio X-TRM e del Servizio di Liquidazione di inviare istruzioni nell’ambito di tali servizi. </w:t>
      </w:r>
    </w:p>
    <w:p w14:paraId="14F739E6" w14:textId="77777777" w:rsidR="001B7340" w:rsidRDefault="001B7340" w:rsidP="000143C4">
      <w:pPr>
        <w:pStyle w:val="BodyText1"/>
        <w:spacing w:after="0"/>
        <w:ind w:left="0"/>
        <w:rPr>
          <w:b/>
          <w:lang w:val="it-IT"/>
        </w:rPr>
      </w:pPr>
    </w:p>
    <w:p w14:paraId="6B74E905" w14:textId="77777777" w:rsidR="001B7340" w:rsidRDefault="001B7340" w:rsidP="000143C4">
      <w:pPr>
        <w:pStyle w:val="BodyText1"/>
        <w:spacing w:after="0"/>
        <w:ind w:left="0"/>
        <w:rPr>
          <w:b/>
          <w:lang w:val="it-IT"/>
        </w:rPr>
      </w:pPr>
      <w:r>
        <w:rPr>
          <w:b/>
          <w:lang w:val="it-IT"/>
        </w:rPr>
        <w:t>2. –CONNESSIONE TELEMATICA MT-X</w:t>
      </w:r>
    </w:p>
    <w:p w14:paraId="7F1C550E" w14:textId="77777777" w:rsidR="001B7340" w:rsidRDefault="001B7340" w:rsidP="000143C4">
      <w:pPr>
        <w:pStyle w:val="BodyText1"/>
        <w:spacing w:after="0"/>
        <w:ind w:left="0"/>
        <w:rPr>
          <w:b/>
          <w:lang w:val="it-IT"/>
        </w:rPr>
      </w:pPr>
    </w:p>
    <w:p w14:paraId="7CF7FE2E" w14:textId="078BF3B4" w:rsidR="001B7340" w:rsidRDefault="001B7340" w:rsidP="000143C4">
      <w:pPr>
        <w:pStyle w:val="BodyText1"/>
        <w:spacing w:after="0"/>
        <w:ind w:left="0"/>
        <w:rPr>
          <w:iCs/>
          <w:lang w:val="it-IT"/>
        </w:rPr>
      </w:pPr>
      <w:r>
        <w:rPr>
          <w:b/>
          <w:lang w:val="it-IT"/>
        </w:rPr>
        <w:t>2.1</w:t>
      </w:r>
      <w:r>
        <w:rPr>
          <w:lang w:val="it-IT"/>
        </w:rPr>
        <w:t xml:space="preserve"> </w:t>
      </w:r>
      <w:r w:rsidR="00AB2F23">
        <w:rPr>
          <w:lang w:val="it-IT"/>
        </w:rPr>
        <w:t>Euronext Securities Milan</w:t>
      </w:r>
      <w:r>
        <w:rPr>
          <w:lang w:val="it-IT"/>
        </w:rPr>
        <w:t xml:space="preserve"> abilita i soggetti Centri Servizi all’utilizzo della connessione telematica via MT-X (che consente la trasmissione di comunicazioni tra</w:t>
      </w:r>
      <w:r>
        <w:rPr>
          <w:iCs/>
          <w:lang w:val="it-IT"/>
        </w:rPr>
        <w:t xml:space="preserve"> i partecipanti ai servizi di </w:t>
      </w:r>
      <w:r w:rsidR="00AB2F23">
        <w:rPr>
          <w:iCs/>
          <w:lang w:val="it-IT"/>
        </w:rPr>
        <w:t>Euronext Securities Milan</w:t>
      </w:r>
      <w:r>
        <w:rPr>
          <w:iCs/>
          <w:lang w:val="it-IT"/>
        </w:rPr>
        <w:t xml:space="preserve"> nei termini e alle condizioni di seguito indicate.</w:t>
      </w:r>
    </w:p>
    <w:p w14:paraId="532D6251" w14:textId="77777777" w:rsidR="00216E19" w:rsidRDefault="00216E19" w:rsidP="000143C4">
      <w:pPr>
        <w:pStyle w:val="BodyText1"/>
        <w:spacing w:after="0"/>
        <w:ind w:left="0"/>
        <w:rPr>
          <w:iCs/>
          <w:lang w:val="it-IT"/>
        </w:rPr>
      </w:pPr>
    </w:p>
    <w:p w14:paraId="50DF33E7" w14:textId="67E9E302" w:rsidR="001B7340" w:rsidRDefault="001B7340" w:rsidP="000143C4">
      <w:pPr>
        <w:pStyle w:val="BodyText1"/>
        <w:spacing w:after="0"/>
        <w:ind w:left="0"/>
        <w:rPr>
          <w:iCs/>
          <w:lang w:val="it-IT"/>
        </w:rPr>
      </w:pPr>
      <w:r>
        <w:rPr>
          <w:b/>
          <w:iCs/>
          <w:lang w:val="it-IT"/>
        </w:rPr>
        <w:t>2.2</w:t>
      </w:r>
      <w:r>
        <w:rPr>
          <w:iCs/>
          <w:lang w:val="it-IT"/>
        </w:rPr>
        <w:t xml:space="preserve">. </w:t>
      </w:r>
      <w:r w:rsidR="00AB2F23">
        <w:rPr>
          <w:iCs/>
          <w:lang w:val="it-IT"/>
        </w:rPr>
        <w:t>Euronext Securities Milan</w:t>
      </w:r>
      <w:r>
        <w:rPr>
          <w:iCs/>
          <w:lang w:val="it-IT"/>
        </w:rPr>
        <w:t xml:space="preserve"> presta le attività di cui al presente contratto unicamente in qualità di vettore dei dati di cui al comma 1 e risponde con esclusivo riferimento a tale attività, indi per cui lo stesso rimane estraneo ai rapporti di mandato intercorrenti tra i sopra citati partecipanti ed i Centri Servizi.</w:t>
      </w:r>
    </w:p>
    <w:p w14:paraId="28E57935" w14:textId="77777777" w:rsidR="00216E19" w:rsidRDefault="00216E19" w:rsidP="000143C4">
      <w:pPr>
        <w:pStyle w:val="BodyText1"/>
        <w:spacing w:after="0"/>
        <w:ind w:left="0"/>
        <w:rPr>
          <w:iCs/>
          <w:lang w:val="it-IT"/>
        </w:rPr>
      </w:pPr>
    </w:p>
    <w:p w14:paraId="1DD7153D" w14:textId="77840990" w:rsidR="001B7340" w:rsidRDefault="001B7340" w:rsidP="000143C4">
      <w:pPr>
        <w:pStyle w:val="BodyText1"/>
        <w:spacing w:after="0"/>
        <w:ind w:left="0"/>
        <w:rPr>
          <w:lang w:val="it-IT"/>
        </w:rPr>
      </w:pPr>
      <w:r>
        <w:rPr>
          <w:b/>
          <w:lang w:val="it-IT"/>
        </w:rPr>
        <w:t>2.3</w:t>
      </w:r>
      <w:r>
        <w:rPr>
          <w:lang w:val="it-IT"/>
        </w:rPr>
        <w:t xml:space="preserve"> Il Centro Servizi autorizza </w:t>
      </w:r>
      <w:r w:rsidR="00AB2F23">
        <w:rPr>
          <w:lang w:val="it-IT"/>
        </w:rPr>
        <w:t>Euronext Securities Milan</w:t>
      </w:r>
      <w:r>
        <w:rPr>
          <w:lang w:val="it-IT"/>
        </w:rPr>
        <w:t xml:space="preserve"> alla trasmissione e alla ricezione di messaggi applicativi del Centro Applicativo</w:t>
      </w:r>
      <w:r w:rsidR="000C2300">
        <w:rPr>
          <w:lang w:val="it-IT"/>
        </w:rPr>
        <w:t xml:space="preserve"> di</w:t>
      </w:r>
      <w:r>
        <w:rPr>
          <w:lang w:val="it-IT"/>
        </w:rPr>
        <w:t xml:space="preserve"> </w:t>
      </w:r>
      <w:r w:rsidR="00AB2F23">
        <w:rPr>
          <w:lang w:val="it-IT"/>
        </w:rPr>
        <w:t>Euronext Securities Milan</w:t>
      </w:r>
      <w:r>
        <w:rPr>
          <w:lang w:val="it-IT"/>
        </w:rPr>
        <w:t xml:space="preserve"> a mezzo della piattaforma MT-X, secondo le modalità specificate nel Manuale dei Servizi che il sottoscritto dichiara di conoscere e accettare.</w:t>
      </w:r>
    </w:p>
    <w:p w14:paraId="14D57C52" w14:textId="77777777" w:rsidR="00216E19" w:rsidRDefault="00216E19" w:rsidP="000143C4">
      <w:pPr>
        <w:pStyle w:val="BodyText1"/>
        <w:spacing w:after="0"/>
        <w:ind w:left="0"/>
        <w:rPr>
          <w:lang w:val="it-IT"/>
        </w:rPr>
      </w:pPr>
    </w:p>
    <w:p w14:paraId="5F568359" w14:textId="37E3F800" w:rsidR="001B7340" w:rsidRDefault="001B7340" w:rsidP="000143C4">
      <w:pPr>
        <w:pStyle w:val="BodyText1"/>
        <w:spacing w:after="0"/>
        <w:ind w:left="0"/>
        <w:rPr>
          <w:lang w:val="it-IT"/>
        </w:rPr>
      </w:pPr>
      <w:r>
        <w:rPr>
          <w:b/>
          <w:lang w:val="it-IT"/>
        </w:rPr>
        <w:t xml:space="preserve">2.4 </w:t>
      </w:r>
      <w:r>
        <w:rPr>
          <w:lang w:val="it-IT"/>
        </w:rPr>
        <w:t xml:space="preserve">Il Centro Servizi si impegna a custodire i profili utente (User e password) e i certificati digitali con la massima riservatezza e diligenza e a non comunicarli o cederli a terzi, nemmeno temporaneamente. Ogni eventuale perdita, furto o smarrimento dovrà essere tempestivamente comunicata all’Ufficio Security della </w:t>
      </w:r>
      <w:r w:rsidR="00AB2F23">
        <w:rPr>
          <w:lang w:val="it-IT"/>
        </w:rPr>
        <w:t>Euronext Securities Milan</w:t>
      </w:r>
      <w:r>
        <w:rPr>
          <w:lang w:val="it-IT"/>
        </w:rPr>
        <w:t xml:space="preserve"> al n. 0233635 284-351, confermando la stessa comunicazione via e-mail all’indirizzo indicato dall’Ufficio Security.</w:t>
      </w:r>
    </w:p>
    <w:p w14:paraId="709853F2" w14:textId="77777777" w:rsidR="00216E19" w:rsidRDefault="00216E19" w:rsidP="000143C4">
      <w:pPr>
        <w:pStyle w:val="BodyText1"/>
        <w:spacing w:after="0"/>
        <w:ind w:left="0"/>
        <w:rPr>
          <w:lang w:val="it-IT"/>
        </w:rPr>
      </w:pPr>
    </w:p>
    <w:p w14:paraId="14F9E465" w14:textId="16B732DE" w:rsidR="001B7340" w:rsidRDefault="001B7340" w:rsidP="000143C4">
      <w:pPr>
        <w:pStyle w:val="BodyText1"/>
        <w:spacing w:after="0"/>
        <w:ind w:left="0"/>
        <w:rPr>
          <w:lang w:val="it-IT"/>
        </w:rPr>
      </w:pPr>
      <w:r>
        <w:rPr>
          <w:b/>
          <w:lang w:val="it-IT"/>
        </w:rPr>
        <w:lastRenderedPageBreak/>
        <w:t>2.5</w:t>
      </w:r>
      <w:r>
        <w:rPr>
          <w:lang w:val="it-IT"/>
        </w:rPr>
        <w:t xml:space="preserve"> Il Centro Servizi dichiara di essere in possesso, in caso di utilizzo degli standard HTTPS, delle necessarie autorizzazioni per la completa e corretta comunicazioni dei dati personali dei soggetti delegati all’utilizzo dei certificati digitali, nel rispetto della legge e in particolare delle vigenti norme in materia di privacy.</w:t>
      </w:r>
    </w:p>
    <w:p w14:paraId="0D271B4F" w14:textId="77777777" w:rsidR="00216E19" w:rsidRDefault="00216E19" w:rsidP="000143C4">
      <w:pPr>
        <w:pStyle w:val="BodyText1"/>
        <w:spacing w:after="0"/>
        <w:ind w:left="0"/>
        <w:rPr>
          <w:lang w:val="it-IT"/>
        </w:rPr>
      </w:pPr>
    </w:p>
    <w:p w14:paraId="51BBC238" w14:textId="1E162708" w:rsidR="001B7340" w:rsidRDefault="001B7340" w:rsidP="000143C4">
      <w:pPr>
        <w:pStyle w:val="BodyText1"/>
        <w:spacing w:after="0"/>
        <w:ind w:left="0"/>
        <w:rPr>
          <w:lang w:val="it-IT"/>
        </w:rPr>
      </w:pPr>
      <w:r>
        <w:rPr>
          <w:b/>
          <w:lang w:val="it-IT"/>
        </w:rPr>
        <w:t>2.6</w:t>
      </w:r>
      <w:r>
        <w:rPr>
          <w:lang w:val="it-IT"/>
        </w:rPr>
        <w:t xml:space="preserve"> Il Centro Servizi si impegna ad utilizzare i certificati digitali unicamente per l’operatività relativa a MT-X.</w:t>
      </w:r>
    </w:p>
    <w:p w14:paraId="52E41188" w14:textId="77777777" w:rsidR="00216E19" w:rsidRDefault="00216E19" w:rsidP="000143C4">
      <w:pPr>
        <w:pStyle w:val="BodyText1"/>
        <w:spacing w:after="0"/>
        <w:ind w:left="0"/>
        <w:rPr>
          <w:lang w:val="it-IT"/>
        </w:rPr>
      </w:pPr>
    </w:p>
    <w:p w14:paraId="2B16BBC8" w14:textId="71500E6D" w:rsidR="001B7340" w:rsidRDefault="001B7340" w:rsidP="000143C4">
      <w:pPr>
        <w:pStyle w:val="BodyText1"/>
        <w:spacing w:after="0"/>
        <w:ind w:left="0"/>
        <w:rPr>
          <w:lang w:val="it-IT"/>
        </w:rPr>
      </w:pPr>
      <w:r>
        <w:rPr>
          <w:b/>
          <w:lang w:val="it-IT"/>
        </w:rPr>
        <w:t>2.7</w:t>
      </w:r>
      <w:r>
        <w:rPr>
          <w:lang w:val="it-IT"/>
        </w:rPr>
        <w:t xml:space="preserve"> Il Centro Servizi si impegna a comunicare il ricevimento da parte della </w:t>
      </w:r>
      <w:r w:rsidR="00AB2F23">
        <w:rPr>
          <w:lang w:val="it-IT"/>
        </w:rPr>
        <w:t>Euronext Securities Milan</w:t>
      </w:r>
      <w:r>
        <w:rPr>
          <w:lang w:val="it-IT"/>
        </w:rPr>
        <w:t xml:space="preserve"> dei profili utente (User e password) o dei certificati digitali per l’utilizzo di MT-X mediante l’invio di una mail, come meglio specificato nella lettera di </w:t>
      </w:r>
      <w:r w:rsidR="00AB2F23">
        <w:rPr>
          <w:lang w:val="it-IT"/>
        </w:rPr>
        <w:t>Euronext Securities Milan</w:t>
      </w:r>
      <w:r>
        <w:rPr>
          <w:lang w:val="it-IT"/>
        </w:rPr>
        <w:t xml:space="preserve"> di accompagnamento dei profili utente o dei certificati digitali.  L’attivazione sarà effettuata entro i 3 (tre) giorni lavorativi successivi alla data di ricezione della suddetta mail. </w:t>
      </w:r>
      <w:r w:rsidR="00AB2F23">
        <w:rPr>
          <w:lang w:val="it-IT"/>
        </w:rPr>
        <w:t>Euronext Securities Milan</w:t>
      </w:r>
      <w:r>
        <w:rPr>
          <w:lang w:val="it-IT"/>
        </w:rPr>
        <w:t xml:space="preserve"> provvederà tramite mail a darne comunicazione al cliente.</w:t>
      </w:r>
    </w:p>
    <w:p w14:paraId="222EAE8A" w14:textId="77777777" w:rsidR="001B7340" w:rsidRDefault="001B7340" w:rsidP="000143C4">
      <w:pPr>
        <w:pStyle w:val="BodyText1"/>
        <w:spacing w:after="0"/>
        <w:ind w:left="0"/>
        <w:rPr>
          <w:lang w:val="it-IT"/>
        </w:rPr>
      </w:pPr>
    </w:p>
    <w:p w14:paraId="73EAB786" w14:textId="01CE9F76" w:rsidR="001B7340" w:rsidRDefault="001B7340" w:rsidP="000143C4">
      <w:pPr>
        <w:pStyle w:val="BodyText1"/>
        <w:spacing w:after="0"/>
        <w:ind w:left="0"/>
        <w:rPr>
          <w:b/>
          <w:lang w:val="it-IT"/>
        </w:rPr>
      </w:pPr>
      <w:r>
        <w:rPr>
          <w:b/>
          <w:lang w:val="it-IT"/>
        </w:rPr>
        <w:t>3. –CONNESSIONE TELEMATICA MT-A2A</w:t>
      </w:r>
    </w:p>
    <w:p w14:paraId="6EC814A2" w14:textId="77777777" w:rsidR="005D07BF" w:rsidRDefault="005D07BF" w:rsidP="000143C4">
      <w:pPr>
        <w:pStyle w:val="BodyText1"/>
        <w:spacing w:after="0"/>
        <w:ind w:left="0"/>
        <w:rPr>
          <w:b/>
          <w:lang w:val="it-IT"/>
        </w:rPr>
      </w:pPr>
    </w:p>
    <w:p w14:paraId="0E8F9641" w14:textId="0C72D9DD" w:rsidR="001B7340" w:rsidRDefault="001B7340" w:rsidP="000143C4">
      <w:pPr>
        <w:pStyle w:val="BodyText1"/>
        <w:spacing w:after="0"/>
        <w:ind w:left="0"/>
        <w:rPr>
          <w:iCs/>
          <w:lang w:val="it-IT"/>
        </w:rPr>
      </w:pPr>
      <w:r>
        <w:rPr>
          <w:b/>
          <w:lang w:val="it-IT"/>
        </w:rPr>
        <w:t>3.1</w:t>
      </w:r>
      <w:r>
        <w:rPr>
          <w:lang w:val="it-IT"/>
        </w:rPr>
        <w:t xml:space="preserve">  </w:t>
      </w:r>
      <w:r w:rsidR="00AB2F23">
        <w:rPr>
          <w:lang w:val="it-IT"/>
        </w:rPr>
        <w:t>Euronext Securities Milan</w:t>
      </w:r>
      <w:r>
        <w:rPr>
          <w:lang w:val="it-IT"/>
        </w:rPr>
        <w:t xml:space="preserve"> abilita l’Aderente A2A all’utilizzo della connessione telematica MT-A2A  che consente la trasmissione di comunicazioni tra</w:t>
      </w:r>
      <w:r>
        <w:rPr>
          <w:iCs/>
          <w:lang w:val="it-IT"/>
        </w:rPr>
        <w:t xml:space="preserve"> i partecipanti ai servizi gestiti da </w:t>
      </w:r>
      <w:r w:rsidR="00AB2F23">
        <w:rPr>
          <w:iCs/>
          <w:lang w:val="it-IT"/>
        </w:rPr>
        <w:t>Euronext Securities Milan</w:t>
      </w:r>
      <w:r>
        <w:rPr>
          <w:iCs/>
          <w:lang w:val="it-IT"/>
        </w:rPr>
        <w:t xml:space="preserve"> nei termini e alle condizioni di seguito indicate.</w:t>
      </w:r>
    </w:p>
    <w:p w14:paraId="15E8C68F" w14:textId="77777777" w:rsidR="00216E19" w:rsidRDefault="00216E19" w:rsidP="000143C4">
      <w:pPr>
        <w:pStyle w:val="BodyText1"/>
        <w:spacing w:after="0"/>
        <w:ind w:left="0"/>
        <w:rPr>
          <w:iCs/>
          <w:lang w:val="it-IT"/>
        </w:rPr>
      </w:pPr>
    </w:p>
    <w:p w14:paraId="3583F7C8" w14:textId="50634DE3" w:rsidR="001B7340" w:rsidRDefault="001B7340" w:rsidP="000143C4">
      <w:pPr>
        <w:pStyle w:val="BodyText1"/>
        <w:spacing w:after="0"/>
        <w:ind w:left="0"/>
        <w:rPr>
          <w:lang w:val="it-IT"/>
        </w:rPr>
      </w:pPr>
      <w:r>
        <w:rPr>
          <w:b/>
          <w:lang w:val="it-IT"/>
        </w:rPr>
        <w:t>3.2</w:t>
      </w:r>
      <w:r>
        <w:rPr>
          <w:lang w:val="it-IT"/>
        </w:rPr>
        <w:t xml:space="preserve"> La partecipazione alla connessione telematica MT-A2A richiede la partecipazione al alla connessione telematica MT-X. Per la connessione possono essere scelte, tramite la Documentazione di Partecipazione, due modalità anche tenuto conto dei volumi delle operazioni, come meglio specificato nei Manuali Tecnici:</w:t>
      </w:r>
    </w:p>
    <w:p w14:paraId="0CAFE3F8" w14:textId="77777777" w:rsidR="000143C4" w:rsidRDefault="000143C4" w:rsidP="000143C4">
      <w:pPr>
        <w:pStyle w:val="BodyText1"/>
        <w:spacing w:after="0"/>
        <w:ind w:left="0"/>
        <w:rPr>
          <w:b/>
          <w:lang w:val="it-IT"/>
        </w:rPr>
      </w:pPr>
    </w:p>
    <w:p w14:paraId="22C58807" w14:textId="50C2E609" w:rsidR="001B7340" w:rsidRPr="005D07BF" w:rsidRDefault="001B7340" w:rsidP="005D07BF">
      <w:pPr>
        <w:pStyle w:val="BodyText1"/>
        <w:numPr>
          <w:ilvl w:val="0"/>
          <w:numId w:val="31"/>
        </w:numPr>
        <w:spacing w:after="0"/>
        <w:ind w:left="0" w:firstLine="0"/>
        <w:rPr>
          <w:b/>
          <w:lang w:val="it-IT"/>
        </w:rPr>
      </w:pPr>
      <w:r>
        <w:rPr>
          <w:lang w:val="it-IT"/>
        </w:rPr>
        <w:t>accesso tramite rete pubblica o</w:t>
      </w:r>
    </w:p>
    <w:p w14:paraId="5FFFD8B6" w14:textId="77777777" w:rsidR="005D07BF" w:rsidRDefault="005D07BF" w:rsidP="005D07BF">
      <w:pPr>
        <w:pStyle w:val="BodyText1"/>
        <w:spacing w:after="0"/>
        <w:ind w:left="0"/>
        <w:rPr>
          <w:b/>
          <w:lang w:val="it-IT"/>
        </w:rPr>
      </w:pPr>
    </w:p>
    <w:p w14:paraId="0F003C41" w14:textId="52C96727" w:rsidR="001B7340" w:rsidRPr="000143C4" w:rsidRDefault="001B7340" w:rsidP="005D07BF">
      <w:pPr>
        <w:pStyle w:val="BodyText1"/>
        <w:numPr>
          <w:ilvl w:val="0"/>
          <w:numId w:val="31"/>
        </w:numPr>
        <w:spacing w:after="0"/>
        <w:ind w:left="0" w:firstLine="0"/>
        <w:rPr>
          <w:b/>
          <w:lang w:val="it-IT"/>
        </w:rPr>
      </w:pPr>
      <w:r>
        <w:rPr>
          <w:lang w:val="it-IT"/>
        </w:rPr>
        <w:t xml:space="preserve">accesso tramite rete dedicata. </w:t>
      </w:r>
    </w:p>
    <w:p w14:paraId="138716A4" w14:textId="77777777" w:rsidR="000143C4" w:rsidRDefault="000143C4" w:rsidP="000143C4">
      <w:pPr>
        <w:pStyle w:val="BodyText1"/>
        <w:spacing w:after="0"/>
        <w:ind w:left="0"/>
        <w:rPr>
          <w:b/>
          <w:lang w:val="it-IT"/>
        </w:rPr>
      </w:pPr>
    </w:p>
    <w:p w14:paraId="17143693" w14:textId="3DCF08AE" w:rsidR="001B7340" w:rsidRDefault="001B7340" w:rsidP="000143C4">
      <w:pPr>
        <w:pStyle w:val="BodyText1"/>
        <w:spacing w:after="0"/>
        <w:ind w:left="0"/>
        <w:rPr>
          <w:lang w:val="it-IT"/>
        </w:rPr>
      </w:pPr>
      <w:r>
        <w:rPr>
          <w:b/>
          <w:lang w:val="it-IT"/>
        </w:rPr>
        <w:t>3.3</w:t>
      </w:r>
      <w:r>
        <w:rPr>
          <w:lang w:val="it-IT"/>
        </w:rPr>
        <w:t xml:space="preserve"> La partecipazione alla connessione telematica MT-A2A richiede l’effettuazione, con esito positivo, di test di collaudo secondo termini e modalità definiti da </w:t>
      </w:r>
      <w:r w:rsidR="00AB2F23">
        <w:rPr>
          <w:lang w:val="it-IT"/>
        </w:rPr>
        <w:t>Euronext Securities Milan</w:t>
      </w:r>
      <w:r>
        <w:rPr>
          <w:lang w:val="it-IT"/>
        </w:rPr>
        <w:t>.</w:t>
      </w:r>
    </w:p>
    <w:p w14:paraId="74720B91" w14:textId="77777777" w:rsidR="003B276D" w:rsidRDefault="003B276D" w:rsidP="000143C4">
      <w:pPr>
        <w:pStyle w:val="BodyText1"/>
        <w:spacing w:after="0"/>
        <w:ind w:left="0"/>
        <w:rPr>
          <w:b/>
          <w:lang w:val="it-IT"/>
        </w:rPr>
      </w:pPr>
    </w:p>
    <w:p w14:paraId="7D7E5846" w14:textId="147AAC11" w:rsidR="001B7340" w:rsidRDefault="001B7340" w:rsidP="000143C4">
      <w:pPr>
        <w:pStyle w:val="BodyText1"/>
        <w:spacing w:after="0"/>
        <w:ind w:left="0"/>
        <w:rPr>
          <w:iCs/>
          <w:lang w:val="it-IT"/>
        </w:rPr>
      </w:pPr>
      <w:r>
        <w:rPr>
          <w:b/>
          <w:lang w:val="it-IT"/>
        </w:rPr>
        <w:t xml:space="preserve">3.4 </w:t>
      </w:r>
      <w:r w:rsidR="00AB2F23">
        <w:rPr>
          <w:iCs/>
          <w:lang w:val="it-IT"/>
        </w:rPr>
        <w:t>Euronext Securities Milan</w:t>
      </w:r>
      <w:r>
        <w:rPr>
          <w:iCs/>
          <w:lang w:val="it-IT"/>
        </w:rPr>
        <w:t xml:space="preserve"> presta le attività di cui al presente contratto unicamente in veste di vettore dei dati di cui al comma 1 e risponde con esclusivo riferimento a tale attività, indi per cui lo stesso rimane estraneo ai rapporti di mandato intercorrenti tra i sopra citati partecipanti  ed i Centri Servizi.</w:t>
      </w:r>
    </w:p>
    <w:p w14:paraId="3F00F192" w14:textId="77777777" w:rsidR="003B276D" w:rsidRDefault="003B276D" w:rsidP="000143C4">
      <w:pPr>
        <w:pStyle w:val="BodyText1"/>
        <w:spacing w:after="0"/>
        <w:ind w:left="0"/>
        <w:rPr>
          <w:lang w:val="it-IT"/>
        </w:rPr>
      </w:pPr>
    </w:p>
    <w:p w14:paraId="6852238E" w14:textId="7529981A" w:rsidR="001B7340" w:rsidRDefault="001B7340" w:rsidP="000143C4">
      <w:pPr>
        <w:pStyle w:val="BodyText1"/>
        <w:spacing w:after="0"/>
        <w:ind w:left="0"/>
        <w:rPr>
          <w:b/>
          <w:lang w:val="it-IT"/>
        </w:rPr>
      </w:pPr>
      <w:r>
        <w:rPr>
          <w:b/>
          <w:lang w:val="it-IT"/>
        </w:rPr>
        <w:t>3.bis – connessione telematica swift</w:t>
      </w:r>
    </w:p>
    <w:p w14:paraId="57BD236A" w14:textId="77777777" w:rsidR="005D07BF" w:rsidRDefault="005D07BF" w:rsidP="000143C4">
      <w:pPr>
        <w:pStyle w:val="BodyText1"/>
        <w:spacing w:after="0"/>
        <w:ind w:left="0"/>
        <w:rPr>
          <w:b/>
          <w:lang w:val="it-IT"/>
        </w:rPr>
      </w:pPr>
    </w:p>
    <w:p w14:paraId="322AFE31" w14:textId="5A989903" w:rsidR="001B7340" w:rsidRDefault="001B7340" w:rsidP="000143C4">
      <w:pPr>
        <w:pStyle w:val="BodyText1"/>
        <w:spacing w:after="0"/>
        <w:ind w:left="0"/>
        <w:rPr>
          <w:iCs/>
          <w:lang w:val="it-IT"/>
        </w:rPr>
      </w:pPr>
      <w:r>
        <w:rPr>
          <w:b/>
          <w:lang w:val="it-IT"/>
        </w:rPr>
        <w:lastRenderedPageBreak/>
        <w:t>3bis.1</w:t>
      </w:r>
      <w:r>
        <w:rPr>
          <w:lang w:val="it-IT"/>
        </w:rPr>
        <w:t xml:space="preserve"> </w:t>
      </w:r>
      <w:r w:rsidR="00AB2F23">
        <w:rPr>
          <w:lang w:val="it-IT"/>
        </w:rPr>
        <w:t>Euronext Securities Milan</w:t>
      </w:r>
      <w:r>
        <w:rPr>
          <w:lang w:val="it-IT"/>
        </w:rPr>
        <w:t xml:space="preserve"> abilita i Centri Servizi all’utilizzo della connessione telematica SWIFT (di seguito, Servizio) che consente la trasmissione di comunicazioni tra</w:t>
      </w:r>
      <w:r>
        <w:rPr>
          <w:iCs/>
          <w:lang w:val="it-IT"/>
        </w:rPr>
        <w:t xml:space="preserve"> i partecipanti ai servizi gestiti da </w:t>
      </w:r>
      <w:r w:rsidR="00AB2F23">
        <w:rPr>
          <w:iCs/>
          <w:lang w:val="it-IT"/>
        </w:rPr>
        <w:t>Euronext Securities Milan</w:t>
      </w:r>
      <w:r>
        <w:rPr>
          <w:iCs/>
          <w:lang w:val="it-IT"/>
        </w:rPr>
        <w:t xml:space="preserve"> nei termini e alle condizioni di seguito indicate.</w:t>
      </w:r>
    </w:p>
    <w:p w14:paraId="121A518C" w14:textId="77777777" w:rsidR="00216E19" w:rsidRDefault="00216E19" w:rsidP="000143C4">
      <w:pPr>
        <w:pStyle w:val="BodyText1"/>
        <w:spacing w:after="0"/>
        <w:ind w:left="0"/>
        <w:rPr>
          <w:iCs/>
          <w:lang w:val="it-IT"/>
        </w:rPr>
      </w:pPr>
    </w:p>
    <w:p w14:paraId="36665E17" w14:textId="5D6DB276" w:rsidR="001B7340" w:rsidRDefault="001B7340" w:rsidP="000143C4">
      <w:pPr>
        <w:pStyle w:val="BodyText1"/>
        <w:spacing w:after="0"/>
        <w:ind w:left="0"/>
        <w:rPr>
          <w:lang w:val="it-IT"/>
        </w:rPr>
      </w:pPr>
      <w:r>
        <w:rPr>
          <w:b/>
          <w:lang w:val="it-IT"/>
        </w:rPr>
        <w:t xml:space="preserve">3bis.2 </w:t>
      </w:r>
      <w:r>
        <w:rPr>
          <w:lang w:val="it-IT"/>
        </w:rPr>
        <w:t xml:space="preserve">La partecipazione alla connessione telematica SWIFT richiede la partecipazione, in via continuativa, da parte del Centro Servizi al Servizio di Tenuta Centralizzata dei Conti in qualità di Intermediario e pertanto l’adesione al CUG di </w:t>
      </w:r>
      <w:r w:rsidR="00AB2F23">
        <w:rPr>
          <w:lang w:val="it-IT"/>
        </w:rPr>
        <w:t>Euronext Securities Milan</w:t>
      </w:r>
      <w:r>
        <w:rPr>
          <w:lang w:val="it-IT"/>
        </w:rPr>
        <w:t xml:space="preserve">. Il Centro Servizi è inoltre tenuto ad aderire al vettore dei dati SWIFT,  secondo i termini e le modalità indicate da SWIFT stessa. </w:t>
      </w:r>
    </w:p>
    <w:p w14:paraId="6307C26F" w14:textId="77777777" w:rsidR="00216E19" w:rsidRDefault="00216E19" w:rsidP="000143C4">
      <w:pPr>
        <w:pStyle w:val="BodyText1"/>
        <w:spacing w:after="0"/>
        <w:ind w:left="0"/>
        <w:rPr>
          <w:b/>
          <w:lang w:val="it-IT"/>
        </w:rPr>
      </w:pPr>
    </w:p>
    <w:p w14:paraId="10346C5A" w14:textId="27F941E1" w:rsidR="001B7340" w:rsidRDefault="001B7340" w:rsidP="000143C4">
      <w:pPr>
        <w:pStyle w:val="BodyText1"/>
        <w:spacing w:after="0"/>
        <w:ind w:left="0"/>
        <w:rPr>
          <w:b/>
          <w:lang w:val="it-IT"/>
        </w:rPr>
      </w:pPr>
      <w:r>
        <w:rPr>
          <w:b/>
          <w:lang w:val="it-IT"/>
        </w:rPr>
        <w:t>3.3</w:t>
      </w:r>
      <w:r>
        <w:rPr>
          <w:lang w:val="it-IT"/>
        </w:rPr>
        <w:t xml:space="preserve"> Il Centro Servizi si impegna ad effettuare i test di collaudo secondo termini e modalità definiti da </w:t>
      </w:r>
      <w:r w:rsidR="00AB2F23">
        <w:rPr>
          <w:lang w:val="it-IT"/>
        </w:rPr>
        <w:t>Euronext Securities Milan</w:t>
      </w:r>
      <w:r>
        <w:rPr>
          <w:lang w:val="it-IT"/>
        </w:rPr>
        <w:t xml:space="preserve"> e prende atto ed accetta che l’abilitazione è condizionata all’esito positivo di tali test. </w:t>
      </w:r>
    </w:p>
    <w:p w14:paraId="462D83EC" w14:textId="59241FF0" w:rsidR="001B7340" w:rsidRDefault="001B7340" w:rsidP="000143C4">
      <w:pPr>
        <w:pStyle w:val="BodyText1"/>
        <w:spacing w:after="0"/>
        <w:ind w:left="0"/>
        <w:rPr>
          <w:iCs/>
          <w:lang w:val="it-IT"/>
        </w:rPr>
      </w:pPr>
      <w:r>
        <w:rPr>
          <w:b/>
          <w:lang w:val="it-IT"/>
        </w:rPr>
        <w:t xml:space="preserve">3.4 </w:t>
      </w:r>
      <w:r>
        <w:rPr>
          <w:iCs/>
          <w:lang w:val="it-IT"/>
        </w:rPr>
        <w:t xml:space="preserve">Il Cliente prende atto ed accetta che gli obblighi di </w:t>
      </w:r>
      <w:r w:rsidR="00AB2F23">
        <w:rPr>
          <w:iCs/>
          <w:lang w:val="it-IT"/>
        </w:rPr>
        <w:t>Euronext Securities Milan</w:t>
      </w:r>
      <w:r>
        <w:rPr>
          <w:iCs/>
          <w:lang w:val="it-IT"/>
        </w:rPr>
        <w:t xml:space="preserve"> ai sensi del presente contratto   consistono unicamente nell’effettuare le configurazioni necessarie all’abilitazione della Connessione telematica SWIFT ai fini dell’operatività dei servizi di </w:t>
      </w:r>
      <w:r w:rsidR="00AB2F23">
        <w:rPr>
          <w:iCs/>
          <w:lang w:val="it-IT"/>
        </w:rPr>
        <w:t>Euronext Securities Milan</w:t>
      </w:r>
      <w:r>
        <w:rPr>
          <w:iCs/>
          <w:lang w:val="it-IT"/>
        </w:rPr>
        <w:t xml:space="preserve">;  pertanto MT risponde con esclusivo riferimento a tale attività, e rimane estranea ai rapporti di mandato intercorrenti tra i sopra citati partecipanti ed i Centri Servizi. come anche dai rapporti tra SWIFT e il Centro Servizi. </w:t>
      </w:r>
    </w:p>
    <w:p w14:paraId="5B2ADCA9" w14:textId="038DC80A" w:rsidR="001B7340" w:rsidRDefault="001B7340" w:rsidP="000143C4">
      <w:pPr>
        <w:pStyle w:val="BodyText1"/>
        <w:spacing w:after="0"/>
        <w:ind w:left="0"/>
        <w:rPr>
          <w:lang w:val="it-IT"/>
        </w:rPr>
      </w:pPr>
      <w:r>
        <w:rPr>
          <w:lang w:val="it-IT"/>
        </w:rPr>
        <w:t xml:space="preserve"> Il Centro Servizi si impegna a far pervenire a </w:t>
      </w:r>
      <w:r w:rsidR="00AB2F23">
        <w:rPr>
          <w:lang w:val="it-IT"/>
        </w:rPr>
        <w:t>Euronext Securities Milan</w:t>
      </w:r>
      <w:r>
        <w:rPr>
          <w:lang w:val="it-IT"/>
        </w:rPr>
        <w:t xml:space="preserve">, tramite la piattaforma CLIMP, l’accettazione del mandato allo stesso conferito dai partecipanti e conseguentemente ad effettuare le necessarie configurazioni secondo quanto indicato  nel Manuale dei Servizi. Il Centro Servizi prende atto ed accetta che l’abilitazione al ruolo di Centro Servizi per la Connessione Telematica Swift  a seguito di ogni nuovo mandato è condizionata all’accettazione da parte del Centro Servizi di tale mandato e al completamento delle suddette configurazioni. </w:t>
      </w:r>
    </w:p>
    <w:p w14:paraId="166016C4" w14:textId="77777777" w:rsidR="001B7340" w:rsidRDefault="001B7340" w:rsidP="000143C4">
      <w:pPr>
        <w:pStyle w:val="BodyText1"/>
        <w:spacing w:after="0"/>
        <w:ind w:left="0"/>
        <w:rPr>
          <w:lang w:val="it-IT"/>
        </w:rPr>
      </w:pPr>
    </w:p>
    <w:p w14:paraId="7F5608BC" w14:textId="0E049106" w:rsidR="001B7340" w:rsidRDefault="001B7340" w:rsidP="000143C4">
      <w:pPr>
        <w:pStyle w:val="BodyText1"/>
        <w:spacing w:after="0"/>
        <w:ind w:left="0"/>
        <w:rPr>
          <w:b/>
          <w:lang w:val="it-IT"/>
        </w:rPr>
      </w:pPr>
      <w:r>
        <w:rPr>
          <w:b/>
          <w:lang w:val="it-IT"/>
        </w:rPr>
        <w:t xml:space="preserve">4. – Obblighi del Centro Servizi </w:t>
      </w:r>
    </w:p>
    <w:p w14:paraId="603C3BCA" w14:textId="77777777" w:rsidR="005D07BF" w:rsidRDefault="005D07BF" w:rsidP="000143C4">
      <w:pPr>
        <w:pStyle w:val="BodyText1"/>
        <w:spacing w:after="0"/>
        <w:ind w:left="0"/>
        <w:rPr>
          <w:b/>
          <w:lang w:val="it-IT"/>
        </w:rPr>
      </w:pPr>
    </w:p>
    <w:p w14:paraId="229A0298" w14:textId="38BFFE9D" w:rsidR="001B7340" w:rsidRDefault="001B7340" w:rsidP="000143C4">
      <w:pPr>
        <w:pStyle w:val="BodyText1"/>
        <w:ind w:left="0"/>
        <w:rPr>
          <w:bCs/>
          <w:lang w:val="it-IT"/>
        </w:rPr>
      </w:pPr>
      <w:r>
        <w:rPr>
          <w:b/>
          <w:lang w:val="it-IT"/>
        </w:rPr>
        <w:t xml:space="preserve">4.1 </w:t>
      </w:r>
      <w:r>
        <w:rPr>
          <w:lang w:val="it-IT"/>
        </w:rPr>
        <w:t xml:space="preserve">Il Centro Servizi si impegna a mantenere in via continuativa una struttura organizzativa dedicata alle attività connesse ai servizi di cui ai paragrafi 2 e 3 e 3-bis che precedono (di seguito i “Servizi”) adeguata al volume delle attività svolte, dotata di adeguata qualificazione professionale e con orari di operatività i compatibili con quelli dei Servizi </w:t>
      </w:r>
      <w:r>
        <w:rPr>
          <w:bCs/>
          <w:lang w:val="it-IT"/>
        </w:rPr>
        <w:t xml:space="preserve">e ad adottare i requisiti tecnici e infrastrutturali specificati da </w:t>
      </w:r>
      <w:r w:rsidR="00AB2F23">
        <w:rPr>
          <w:bCs/>
          <w:lang w:val="it-IT"/>
        </w:rPr>
        <w:t>Euronext Securities Milan</w:t>
      </w:r>
      <w:r>
        <w:rPr>
          <w:bCs/>
          <w:lang w:val="it-IT"/>
        </w:rPr>
        <w:t xml:space="preserve"> nel Manuale dei Servizi in base al tipo di operatività;. </w:t>
      </w:r>
    </w:p>
    <w:p w14:paraId="09624316" w14:textId="6A5CE5A4" w:rsidR="001B7340" w:rsidRDefault="001B7340" w:rsidP="000143C4">
      <w:pPr>
        <w:pStyle w:val="BodyText1"/>
        <w:ind w:left="0"/>
        <w:rPr>
          <w:lang w:val="it-IT"/>
        </w:rPr>
      </w:pPr>
      <w:r>
        <w:rPr>
          <w:b/>
          <w:lang w:val="it-IT"/>
        </w:rPr>
        <w:t>4.2</w:t>
      </w:r>
      <w:r>
        <w:rPr>
          <w:lang w:val="it-IT"/>
        </w:rPr>
        <w:t xml:space="preserve"> Il Centro Servizi si impegna a disporre di un soggetto referente per i rapporti con </w:t>
      </w:r>
      <w:r w:rsidR="00AB2F23">
        <w:rPr>
          <w:lang w:val="it-IT"/>
        </w:rPr>
        <w:t>Euronext Securities Milan</w:t>
      </w:r>
      <w:r>
        <w:rPr>
          <w:lang w:val="it-IT"/>
        </w:rPr>
        <w:t xml:space="preserve"> reperibile negli orari di operatività del Servizio e a conoscenza delle regole di funzionamento di </w:t>
      </w:r>
      <w:r w:rsidR="00AB2F23">
        <w:rPr>
          <w:lang w:val="it-IT"/>
        </w:rPr>
        <w:t>Euronext Securities Milan</w:t>
      </w:r>
      <w:r>
        <w:rPr>
          <w:lang w:val="it-IT"/>
        </w:rPr>
        <w:t xml:space="preserve"> il cui nominativo viene indicato nella Richiesta Servizi. </w:t>
      </w:r>
    </w:p>
    <w:p w14:paraId="19B44982" w14:textId="7C9E959A" w:rsidR="001B7340" w:rsidRDefault="001B7340" w:rsidP="000143C4">
      <w:pPr>
        <w:pStyle w:val="BodyText1"/>
        <w:ind w:left="0"/>
        <w:rPr>
          <w:lang w:val="it-IT"/>
        </w:rPr>
      </w:pPr>
      <w:r>
        <w:rPr>
          <w:b/>
          <w:lang w:val="it-IT"/>
        </w:rPr>
        <w:t>4.3</w:t>
      </w:r>
      <w:r>
        <w:rPr>
          <w:lang w:val="it-IT"/>
        </w:rPr>
        <w:t xml:space="preserve"> Il Centro Servizi dichiara di disporre di strumenti informatici tecnologicamente avanzati e compatibili con il Servizio e di un piano di </w:t>
      </w:r>
      <w:r>
        <w:rPr>
          <w:i/>
          <w:lang w:val="it-IT"/>
        </w:rPr>
        <w:t>business continuity e disaster recovery</w:t>
      </w:r>
      <w:r>
        <w:rPr>
          <w:lang w:val="it-IT"/>
        </w:rPr>
        <w:t xml:space="preserve"> atti a garantire </w:t>
      </w:r>
      <w:r>
        <w:rPr>
          <w:lang w:val="it-IT"/>
        </w:rPr>
        <w:lastRenderedPageBreak/>
        <w:t xml:space="preserve">ai partecipanti ai servizi di </w:t>
      </w:r>
      <w:r w:rsidR="00AB2F23">
        <w:rPr>
          <w:lang w:val="it-IT"/>
        </w:rPr>
        <w:t>Euronext Securities Milan</w:t>
      </w:r>
      <w:r>
        <w:rPr>
          <w:lang w:val="it-IT"/>
        </w:rPr>
        <w:t xml:space="preserve"> per contro dei quali agisce la riservatezza e la sicurezza dei dati trattati e la continuità del servizio. </w:t>
      </w:r>
    </w:p>
    <w:p w14:paraId="3474C1A4" w14:textId="6B86EF15" w:rsidR="001B7340" w:rsidRDefault="001B7340" w:rsidP="000143C4">
      <w:pPr>
        <w:pStyle w:val="BodyText1"/>
        <w:ind w:left="0"/>
        <w:rPr>
          <w:lang w:val="it-IT"/>
        </w:rPr>
      </w:pPr>
      <w:r>
        <w:rPr>
          <w:b/>
          <w:iCs/>
          <w:lang w:val="it-IT"/>
        </w:rPr>
        <w:t>4.4</w:t>
      </w:r>
      <w:r>
        <w:rPr>
          <w:iCs/>
          <w:lang w:val="it-IT"/>
        </w:rPr>
        <w:t xml:space="preserve"> Il Centro Servizi si impegna a consentire a </w:t>
      </w:r>
      <w:r w:rsidR="00AB2F23">
        <w:rPr>
          <w:iCs/>
          <w:lang w:val="it-IT"/>
        </w:rPr>
        <w:t>Euronext Securities Milan</w:t>
      </w:r>
      <w:r>
        <w:rPr>
          <w:iCs/>
          <w:lang w:val="it-IT"/>
        </w:rPr>
        <w:t xml:space="preserve"> o a suoi incaricati di svolgere presso il Centro Servizi o presso terzi di cui eventualmente si avvale per lo svolgimento dei propri servizi, attività di verifica del rispetto dei requisiti di cui al presente contratto e al Regolamento dei Servizi. </w:t>
      </w:r>
    </w:p>
    <w:p w14:paraId="7E357A01" w14:textId="2E2140D7" w:rsidR="001B7340" w:rsidRDefault="001B7340" w:rsidP="000143C4">
      <w:pPr>
        <w:pStyle w:val="BodyText1"/>
        <w:spacing w:after="0"/>
        <w:ind w:left="0"/>
        <w:rPr>
          <w:iCs/>
          <w:lang w:val="it-IT"/>
        </w:rPr>
      </w:pPr>
      <w:r>
        <w:rPr>
          <w:b/>
          <w:iCs/>
          <w:lang w:val="it-IT"/>
        </w:rPr>
        <w:t>4.5</w:t>
      </w:r>
      <w:r>
        <w:rPr>
          <w:iCs/>
          <w:lang w:val="it-IT"/>
        </w:rPr>
        <w:t xml:space="preserve"> Il Centro Servizi si impegna a prevedere nel contratto con il partecipante di </w:t>
      </w:r>
      <w:r w:rsidR="00AB2F23">
        <w:rPr>
          <w:iCs/>
          <w:lang w:val="it-IT"/>
        </w:rPr>
        <w:t>Euronext Securities Milan</w:t>
      </w:r>
      <w:r>
        <w:rPr>
          <w:iCs/>
          <w:lang w:val="it-IT"/>
        </w:rPr>
        <w:t xml:space="preserve"> per conto del quale agisce clausole da cui risulti se il Centro Servizi si avvale a sua volta di terzi per lo svolgimento di parte dei servizi a lui affidati da tale partecipante nonché obblighi relativi allo svolgimento di attività di verifica ai sensi del comma che precede. . </w:t>
      </w:r>
    </w:p>
    <w:p w14:paraId="649678DD" w14:textId="0656C207" w:rsidR="001B7340" w:rsidRDefault="001B7340" w:rsidP="000143C4">
      <w:pPr>
        <w:pStyle w:val="BodyText1"/>
        <w:ind w:left="0"/>
        <w:rPr>
          <w:iCs/>
          <w:lang w:val="it-IT"/>
        </w:rPr>
      </w:pPr>
      <w:r>
        <w:rPr>
          <w:b/>
          <w:iCs/>
          <w:lang w:val="it-IT"/>
        </w:rPr>
        <w:t>4.6</w:t>
      </w:r>
      <w:r>
        <w:rPr>
          <w:iCs/>
          <w:lang w:val="it-IT"/>
        </w:rPr>
        <w:t xml:space="preserve"> Il Centro Servizi si impegna a dar seguito senza indugio ad eventuali istruzioni di </w:t>
      </w:r>
      <w:r w:rsidR="00AB2F23">
        <w:rPr>
          <w:iCs/>
          <w:lang w:val="it-IT"/>
        </w:rPr>
        <w:t>Euronext Securities Milan</w:t>
      </w:r>
      <w:r>
        <w:rPr>
          <w:iCs/>
          <w:lang w:val="it-IT"/>
        </w:rPr>
        <w:t xml:space="preserve"> atte a sospendere l’accesso ai sistemi di </w:t>
      </w:r>
      <w:r w:rsidR="00AB2F23">
        <w:rPr>
          <w:iCs/>
          <w:lang w:val="it-IT"/>
        </w:rPr>
        <w:t>Euronext Securities Milan</w:t>
      </w:r>
      <w:r>
        <w:rPr>
          <w:iCs/>
          <w:lang w:val="it-IT"/>
        </w:rPr>
        <w:t xml:space="preserve"> da parte del partecipante in conseguenza di problemi tecnici o rischi per l’ordinario funzionamento dei sistemi o dei servizi di </w:t>
      </w:r>
      <w:r w:rsidR="00AB2F23">
        <w:rPr>
          <w:iCs/>
          <w:lang w:val="it-IT"/>
        </w:rPr>
        <w:t>Euronext Securities Milan</w:t>
      </w:r>
      <w:r>
        <w:rPr>
          <w:iCs/>
          <w:lang w:val="it-IT"/>
        </w:rPr>
        <w:t xml:space="preserve">. </w:t>
      </w:r>
    </w:p>
    <w:p w14:paraId="7BA7A3E7" w14:textId="3FAA240D" w:rsidR="001B7340" w:rsidRDefault="001B7340" w:rsidP="000143C4">
      <w:pPr>
        <w:pStyle w:val="BodyText1"/>
        <w:ind w:left="0"/>
        <w:rPr>
          <w:iCs/>
          <w:lang w:val="it-IT"/>
        </w:rPr>
      </w:pPr>
      <w:r>
        <w:rPr>
          <w:b/>
          <w:iCs/>
          <w:lang w:val="it-IT"/>
        </w:rPr>
        <w:t>4.7</w:t>
      </w:r>
      <w:r>
        <w:rPr>
          <w:iCs/>
          <w:lang w:val="it-IT"/>
        </w:rPr>
        <w:t xml:space="preserve"> Il Centro Servizi prende atto ed accetta che </w:t>
      </w:r>
      <w:r w:rsidR="00AB2F23">
        <w:rPr>
          <w:iCs/>
          <w:lang w:val="it-IT"/>
        </w:rPr>
        <w:t>Euronext Securities Milan</w:t>
      </w:r>
      <w:r>
        <w:rPr>
          <w:iCs/>
          <w:lang w:val="it-IT"/>
        </w:rPr>
        <w:t xml:space="preserve"> potrà limitare il numero di partecipanti che lo stesso potrà connettere ai sistemi di </w:t>
      </w:r>
      <w:r w:rsidR="00AB2F23">
        <w:rPr>
          <w:iCs/>
          <w:lang w:val="it-IT"/>
        </w:rPr>
        <w:t>Euronext Securities Milan</w:t>
      </w:r>
      <w:r>
        <w:rPr>
          <w:iCs/>
          <w:lang w:val="it-IT"/>
        </w:rPr>
        <w:t xml:space="preserve"> per il tramite dei Servizi in caso di problemi tecnici che colpiscono un numero significativo di Partecipanti che si avvalgono del Centro Servizi e/o qualora il Centro Servizi non possa modificare i propri sistemi al fine di renderli compatibili con i sistemi di </w:t>
      </w:r>
      <w:r w:rsidR="00AB2F23">
        <w:rPr>
          <w:iCs/>
          <w:lang w:val="it-IT"/>
        </w:rPr>
        <w:t>Euronext Securities Milan</w:t>
      </w:r>
      <w:r>
        <w:rPr>
          <w:iCs/>
          <w:lang w:val="it-IT"/>
        </w:rPr>
        <w:t xml:space="preserve"> come eventualmente aggiornati o modificati. A tal fine, il Centro Servizi si impegna ad identificare prontamente su richiesta di </w:t>
      </w:r>
      <w:r w:rsidR="00AB2F23">
        <w:rPr>
          <w:iCs/>
          <w:lang w:val="it-IT"/>
        </w:rPr>
        <w:t>Euronext Securities Milan</w:t>
      </w:r>
      <w:r>
        <w:rPr>
          <w:iCs/>
          <w:lang w:val="it-IT"/>
        </w:rPr>
        <w:t xml:space="preserve">, i partecipanti che dovranno essere disconnessi. </w:t>
      </w:r>
    </w:p>
    <w:p w14:paraId="6947CB27" w14:textId="77777777" w:rsidR="001B7340" w:rsidRDefault="001B7340" w:rsidP="000143C4">
      <w:pPr>
        <w:pStyle w:val="BodyText1"/>
        <w:spacing w:after="0"/>
        <w:ind w:left="0"/>
        <w:rPr>
          <w:iCs/>
          <w:lang w:val="it-IT"/>
        </w:rPr>
      </w:pPr>
      <w:r>
        <w:rPr>
          <w:b/>
          <w:iCs/>
          <w:lang w:val="it-IT"/>
        </w:rPr>
        <w:t>4.8</w:t>
      </w:r>
      <w:r>
        <w:rPr>
          <w:iCs/>
          <w:lang w:val="it-IT"/>
        </w:rPr>
        <w:t xml:space="preserve"> Il Centro Servizi si impegna a compilare le sezioni di pertinenza della Documentazione di Partecipazione (Documentazione di Partecipazione), assumendosi la responsabilità della precisione e completezza dei dati comunicati, nonché ad aggiornare tempestivamente i suddetti dati.</w:t>
      </w:r>
    </w:p>
    <w:p w14:paraId="0249894A" w14:textId="77777777" w:rsidR="001B7340" w:rsidRDefault="001B7340" w:rsidP="001B7340">
      <w:pPr>
        <w:pStyle w:val="BodyText1"/>
        <w:spacing w:after="0"/>
        <w:rPr>
          <w:iCs/>
          <w:lang w:val="it-IT"/>
        </w:rPr>
      </w:pPr>
    </w:p>
    <w:p w14:paraId="1DDAADB0" w14:textId="4A8D886E" w:rsidR="00FD274C" w:rsidRPr="001B7340" w:rsidRDefault="00FD274C" w:rsidP="001B7340">
      <w:pPr>
        <w:rPr>
          <w:lang w:val="it-IT"/>
        </w:rPr>
      </w:pPr>
    </w:p>
    <w:sectPr w:rsidR="00FD274C" w:rsidRPr="001B7340" w:rsidSect="00452FD4">
      <w:headerReference w:type="default" r:id="rId12"/>
      <w:footerReference w:type="even" r:id="rId13"/>
      <w:footerReference w:type="default" r:id="rId14"/>
      <w:headerReference w:type="first" r:id="rId15"/>
      <w:footerReference w:type="first" r:id="rId16"/>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A2AF" w14:textId="77777777" w:rsidR="004C6E18" w:rsidRDefault="004C6E18" w:rsidP="00695086">
      <w:pPr>
        <w:spacing w:after="0" w:line="240" w:lineRule="auto"/>
      </w:pPr>
      <w:r>
        <w:separator/>
      </w:r>
    </w:p>
  </w:endnote>
  <w:endnote w:type="continuationSeparator" w:id="0">
    <w:p w14:paraId="382F7952" w14:textId="77777777" w:rsidR="004C6E18" w:rsidRDefault="004C6E18"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4C6E18" w:rsidP="00D772B4">
    <w:pPr>
      <w:pStyle w:val="Footer"/>
      <w:jc w:val="center"/>
    </w:pPr>
    <w:r>
      <w:fldChar w:fldCharType="begin" w:fldLock="1"/>
    </w:r>
    <w:r>
      <w:instrText xml:space="preserve"> DOCPROPERTY bjFooterEvenPageDocProperty \* MERGEFORMAT </w:instrText>
    </w:r>
    <w:r>
      <w:fldChar w:fldCharType="separate"/>
    </w:r>
    <w:r w:rsidR="00D772B4" w:rsidRPr="00D772B4">
      <w:rPr>
        <w:rFonts w:ascii="Calibri" w:hAnsi="Calibri" w:cs="Calibri"/>
        <w:b/>
        <w:color w:val="000000"/>
        <w:sz w:val="28"/>
      </w:rPr>
      <w:t>INTERNAL USE ONLY</w:t>
    </w:r>
    <w:r>
      <w:rPr>
        <w:rFonts w:ascii="Calibri" w:hAnsi="Calibri" w:cs="Calibri"/>
        <w:b/>
        <w:color w:val="000000"/>
        <w:sz w:val="28"/>
      </w:rPr>
      <w:fldChar w:fldCharType="end"/>
    </w:r>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23D60D2C" w:rsidR="00695086" w:rsidRPr="00113B01" w:rsidRDefault="007A6471" w:rsidP="00113B01">
    <w:pPr>
      <w:pStyle w:val="Footer"/>
      <w:jc w:val="right"/>
      <w:rPr>
        <w:color w:val="646B6E" w:themeColor="background2" w:themeShade="80"/>
        <w:sz w:val="16"/>
        <w:szCs w:val="16"/>
      </w:rPr>
    </w:pPr>
    <w:r>
      <w:rPr>
        <w:noProof/>
        <w:color w:val="646B6E" w:themeColor="background2" w:themeShade="80"/>
        <w:sz w:val="16"/>
        <w:szCs w:val="16"/>
      </w:rPr>
      <mc:AlternateContent>
        <mc:Choice Requires="wps">
          <w:drawing>
            <wp:anchor distT="0" distB="0" distL="114300" distR="114300" simplePos="0" relativeHeight="251657216" behindDoc="0" locked="0" layoutInCell="0" allowOverlap="1" wp14:anchorId="65C424D4" wp14:editId="5394F832">
              <wp:simplePos x="0" y="0"/>
              <wp:positionH relativeFrom="page">
                <wp:posOffset>0</wp:posOffset>
              </wp:positionH>
              <wp:positionV relativeFrom="page">
                <wp:posOffset>10227945</wp:posOffset>
              </wp:positionV>
              <wp:extent cx="7560310" cy="273050"/>
              <wp:effectExtent l="0" t="0" r="0" b="12700"/>
              <wp:wrapNone/>
              <wp:docPr id="1" name="MSIPCM3aac485aad00871b87b4e9de"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2DC71" w14:textId="43147D5B" w:rsidR="007A6471" w:rsidRPr="007A6471" w:rsidRDefault="007A6471" w:rsidP="007A6471">
                          <w:pPr>
                            <w:spacing w:after="0"/>
                            <w:jc w:val="center"/>
                            <w:rPr>
                              <w:rFonts w:ascii="Calibri" w:hAnsi="Calibri" w:cs="Calibri"/>
                              <w:color w:val="FFEF00"/>
                              <w:sz w:val="20"/>
                            </w:rPr>
                          </w:pPr>
                          <w:r w:rsidRPr="007A6471">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C424D4" id="_x0000_t202" coordsize="21600,21600" o:spt="202" path="m,l,21600r21600,l21600,xe">
              <v:stroke joinstyle="miter"/>
              <v:path gradientshapeok="t" o:connecttype="rect"/>
            </v:shapetype>
            <v:shape id="MSIPCM3aac485aad00871b87b4e9de"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C52DC71" w14:textId="43147D5B" w:rsidR="007A6471" w:rsidRPr="007A6471" w:rsidRDefault="007A6471" w:rsidP="007A6471">
                    <w:pPr>
                      <w:spacing w:after="0"/>
                      <w:jc w:val="center"/>
                      <w:rPr>
                        <w:rFonts w:ascii="Calibri" w:hAnsi="Calibri" w:cs="Calibri"/>
                        <w:color w:val="FFEF00"/>
                        <w:sz w:val="20"/>
                      </w:rPr>
                    </w:pPr>
                    <w:r w:rsidRPr="007A6471">
                      <w:rPr>
                        <w:rFonts w:ascii="Calibri" w:hAnsi="Calibri" w:cs="Calibri"/>
                        <w:color w:val="FFEF00"/>
                        <w:sz w:val="20"/>
                      </w:rPr>
                      <w:t>INTERNAL USE ONLY</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691539">
              <w:rPr>
                <w:rFonts w:eastAsia="Times New Roman" w:cs="Times New Roman"/>
                <w:b/>
                <w:bCs/>
                <w:color w:val="008D7F"/>
                <w:sz w:val="20"/>
                <w:szCs w:val="20"/>
                <w:lang w:eastAsia="ar-SA"/>
              </w:rPr>
              <w:t>|</w:t>
            </w:r>
            <w:r w:rsidR="004E4354" w:rsidRPr="00691539">
              <w:rPr>
                <w:rFonts w:eastAsia="Times New Roman" w:cs="Times New Roman"/>
                <w:sz w:val="20"/>
                <w:szCs w:val="20"/>
                <w:lang w:eastAsia="ar-SA"/>
              </w:rPr>
              <w:t xml:space="preserve">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r w:rsidR="004E4354" w:rsidRPr="00691539">
              <w:rPr>
                <w:rFonts w:eastAsia="Times New Roman" w:cs="Times New Roman"/>
                <w:noProof/>
                <w:sz w:val="20"/>
                <w:szCs w:val="20"/>
                <w:lang w:eastAsia="ar-SA"/>
              </w:rPr>
              <w:t xml:space="preserve"> of </w:t>
            </w:r>
            <w:r w:rsidR="004E4354" w:rsidRPr="00691539">
              <w:rPr>
                <w:rFonts w:eastAsia="Times New Roman" w:cs="Times New Roman"/>
                <w:noProof/>
                <w:sz w:val="20"/>
                <w:szCs w:val="20"/>
                <w:lang w:eastAsia="ar-SA"/>
              </w:rPr>
              <w:fldChar w:fldCharType="begin"/>
            </w:r>
            <w:r w:rsidR="004E4354" w:rsidRPr="00691539">
              <w:rPr>
                <w:rFonts w:eastAsia="Times New Roman" w:cs="Times New Roman"/>
                <w:noProof/>
                <w:sz w:val="20"/>
                <w:szCs w:val="20"/>
                <w:lang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Pr>
                <w:noProof/>
                <w:sz w:val="20"/>
              </w:rPr>
              <w:t>2</w:t>
            </w:r>
            <w:r w:rsidR="004E4354" w:rsidRPr="00691539">
              <w:rPr>
                <w:rFonts w:eastAsia="Times New Roman" w:cs="Times New Roman"/>
                <w:noProof/>
                <w:sz w:val="20"/>
                <w:szCs w:val="20"/>
                <w:lang w:eastAsia="ar-SA"/>
              </w:rPr>
              <w:fldChar w:fldCharType="end"/>
            </w:r>
          </w:sdtContent>
        </w:sdt>
      </w:sdtContent>
    </w:sdt>
  </w:p>
  <w:p w14:paraId="467C5FBD" w14:textId="77777777" w:rsidR="0043487C" w:rsidRDefault="004348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1C80C627" w:rsidR="00695086" w:rsidRDefault="007A6471" w:rsidP="00D772B4">
    <w:pPr>
      <w:pStyle w:val="Footer"/>
      <w:jc w:val="center"/>
    </w:pPr>
    <w:r>
      <w:rPr>
        <w:noProof/>
      </w:rPr>
      <mc:AlternateContent>
        <mc:Choice Requires="wps">
          <w:drawing>
            <wp:anchor distT="0" distB="0" distL="114300" distR="114300" simplePos="0" relativeHeight="251659264" behindDoc="0" locked="0" layoutInCell="0" allowOverlap="1" wp14:anchorId="133E9A04" wp14:editId="72695496">
              <wp:simplePos x="0" y="0"/>
              <wp:positionH relativeFrom="page">
                <wp:posOffset>0</wp:posOffset>
              </wp:positionH>
              <wp:positionV relativeFrom="page">
                <wp:posOffset>10227945</wp:posOffset>
              </wp:positionV>
              <wp:extent cx="7560310" cy="273050"/>
              <wp:effectExtent l="0" t="0" r="0" b="12700"/>
              <wp:wrapNone/>
              <wp:docPr id="2" name="MSIPCMce5a455c823d7a0ff0f1c2f4"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4DB6C" w14:textId="6259012A" w:rsidR="007A6471" w:rsidRPr="007A6471" w:rsidRDefault="007A6471" w:rsidP="007A6471">
                          <w:pPr>
                            <w:spacing w:after="0"/>
                            <w:jc w:val="center"/>
                            <w:rPr>
                              <w:rFonts w:ascii="Calibri" w:hAnsi="Calibri" w:cs="Calibri"/>
                              <w:color w:val="FFEF00"/>
                              <w:sz w:val="20"/>
                            </w:rPr>
                          </w:pPr>
                          <w:r w:rsidRPr="007A6471">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E9A04" id="_x0000_t202" coordsize="21600,21600" o:spt="202" path="m,l,21600r21600,l21600,xe">
              <v:stroke joinstyle="miter"/>
              <v:path gradientshapeok="t" o:connecttype="rect"/>
            </v:shapetype>
            <v:shape id="MSIPCMce5a455c823d7a0ff0f1c2f4" o:spid="_x0000_s1027" type="#_x0000_t202" alt="{&quot;HashCode&quot;:1526055906,&quot;Height&quot;:841.0,&quot;Width&quot;:595.0,&quot;Placement&quot;:&quot;Footer&quot;,&quot;Index&quot;:&quot;FirstPage&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534DB6C" w14:textId="6259012A" w:rsidR="007A6471" w:rsidRPr="007A6471" w:rsidRDefault="007A6471" w:rsidP="007A6471">
                    <w:pPr>
                      <w:spacing w:after="0"/>
                      <w:jc w:val="center"/>
                      <w:rPr>
                        <w:rFonts w:ascii="Calibri" w:hAnsi="Calibri" w:cs="Calibri"/>
                        <w:color w:val="FFEF00"/>
                        <w:sz w:val="20"/>
                      </w:rPr>
                    </w:pPr>
                    <w:r w:rsidRPr="007A6471">
                      <w:rPr>
                        <w:rFonts w:ascii="Calibri" w:hAnsi="Calibri" w:cs="Calibri"/>
                        <w:color w:val="FFEF00"/>
                        <w:sz w:val="20"/>
                      </w:rPr>
                      <w:t>INTERNAL USE ONLY</w:t>
                    </w:r>
                  </w:p>
                </w:txbxContent>
              </v:textbox>
              <w10:wrap anchorx="page" anchory="page"/>
            </v:shape>
          </w:pict>
        </mc:Fallback>
      </mc:AlternateContent>
    </w:r>
    <w:r w:rsidR="009F6AE9">
      <w:fldChar w:fldCharType="begin" w:fldLock="1"/>
    </w:r>
    <w:r w:rsidR="009F6AE9">
      <w:instrText xml:space="preserve"> DOCPROPERTY bjFooterFirstPageDocProperty \* MERGEFORMAT </w:instrText>
    </w:r>
    <w:r w:rsidR="009F6A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AA39" w14:textId="77777777" w:rsidR="004C6E18" w:rsidRDefault="004C6E18" w:rsidP="00695086">
      <w:pPr>
        <w:spacing w:after="0" w:line="240" w:lineRule="auto"/>
      </w:pPr>
      <w:r>
        <w:separator/>
      </w:r>
    </w:p>
  </w:footnote>
  <w:footnote w:type="continuationSeparator" w:id="0">
    <w:p w14:paraId="5E935FA2" w14:textId="77777777" w:rsidR="004C6E18" w:rsidRDefault="004C6E18"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0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05"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6"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7" w15:restartNumberingAfterBreak="0">
    <w:nsid w:val="650D0299"/>
    <w:multiLevelType w:val="multilevel"/>
    <w:tmpl w:val="3B2A3C0A"/>
    <w:numStyleLink w:val="Headings"/>
  </w:abstractNum>
  <w:abstractNum w:abstractNumId="18"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19"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8"/>
  </w:num>
  <w:num w:numId="3">
    <w:abstractNumId w:val="2"/>
  </w:num>
  <w:num w:numId="4">
    <w:abstractNumId w:val="12"/>
  </w:num>
  <w:num w:numId="5">
    <w:abstractNumId w:val="11"/>
  </w:num>
  <w:num w:numId="6">
    <w:abstractNumId w:val="4"/>
  </w:num>
  <w:num w:numId="7">
    <w:abstractNumId w:val="21"/>
  </w:num>
  <w:num w:numId="8">
    <w:abstractNumId w:val="7"/>
  </w:num>
  <w:num w:numId="9">
    <w:abstractNumId w:val="6"/>
  </w:num>
  <w:num w:numId="10">
    <w:abstractNumId w:val="15"/>
  </w:num>
  <w:num w:numId="11">
    <w:abstractNumId w:val="9"/>
  </w:num>
  <w:num w:numId="12">
    <w:abstractNumId w:val="20"/>
  </w:num>
  <w:num w:numId="13">
    <w:abstractNumId w:val="3"/>
  </w:num>
  <w:num w:numId="14">
    <w:abstractNumId w:val="1"/>
  </w:num>
  <w:num w:numId="15">
    <w:abstractNumId w:val="16"/>
  </w:num>
  <w:num w:numId="16">
    <w:abstractNumId w:val="14"/>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143C4"/>
    <w:rsid w:val="00055C97"/>
    <w:rsid w:val="000606DF"/>
    <w:rsid w:val="000759FD"/>
    <w:rsid w:val="00093C48"/>
    <w:rsid w:val="000A1D61"/>
    <w:rsid w:val="000C2300"/>
    <w:rsid w:val="000D0215"/>
    <w:rsid w:val="000E11A0"/>
    <w:rsid w:val="00113B01"/>
    <w:rsid w:val="00140E6D"/>
    <w:rsid w:val="00144F9B"/>
    <w:rsid w:val="0015108A"/>
    <w:rsid w:val="0017051E"/>
    <w:rsid w:val="0017199A"/>
    <w:rsid w:val="00175004"/>
    <w:rsid w:val="00197CBE"/>
    <w:rsid w:val="001B7340"/>
    <w:rsid w:val="001E5967"/>
    <w:rsid w:val="00212861"/>
    <w:rsid w:val="00216E19"/>
    <w:rsid w:val="00221779"/>
    <w:rsid w:val="00225669"/>
    <w:rsid w:val="00242A3B"/>
    <w:rsid w:val="002515D1"/>
    <w:rsid w:val="002D2DB1"/>
    <w:rsid w:val="002E33C6"/>
    <w:rsid w:val="003138C5"/>
    <w:rsid w:val="00322657"/>
    <w:rsid w:val="00327E9A"/>
    <w:rsid w:val="003425C4"/>
    <w:rsid w:val="00350210"/>
    <w:rsid w:val="00364C48"/>
    <w:rsid w:val="003801D0"/>
    <w:rsid w:val="003873CF"/>
    <w:rsid w:val="00392CA5"/>
    <w:rsid w:val="00396940"/>
    <w:rsid w:val="003B01C2"/>
    <w:rsid w:val="003B276D"/>
    <w:rsid w:val="003B6480"/>
    <w:rsid w:val="003D7CEB"/>
    <w:rsid w:val="003E7114"/>
    <w:rsid w:val="003F3F81"/>
    <w:rsid w:val="003F7510"/>
    <w:rsid w:val="00416298"/>
    <w:rsid w:val="00416DD5"/>
    <w:rsid w:val="00420E50"/>
    <w:rsid w:val="004234E5"/>
    <w:rsid w:val="0043487C"/>
    <w:rsid w:val="00441F11"/>
    <w:rsid w:val="00447FC7"/>
    <w:rsid w:val="00451F9C"/>
    <w:rsid w:val="00452FD4"/>
    <w:rsid w:val="00454B64"/>
    <w:rsid w:val="004B3DEC"/>
    <w:rsid w:val="004C6E18"/>
    <w:rsid w:val="004E4354"/>
    <w:rsid w:val="004F64FA"/>
    <w:rsid w:val="00521260"/>
    <w:rsid w:val="00533692"/>
    <w:rsid w:val="00552D0A"/>
    <w:rsid w:val="00564D2F"/>
    <w:rsid w:val="005C3C3F"/>
    <w:rsid w:val="005C4A54"/>
    <w:rsid w:val="005D02B4"/>
    <w:rsid w:val="005D07BF"/>
    <w:rsid w:val="005F3394"/>
    <w:rsid w:val="00611112"/>
    <w:rsid w:val="006552DB"/>
    <w:rsid w:val="00667F9C"/>
    <w:rsid w:val="00676991"/>
    <w:rsid w:val="00694ED8"/>
    <w:rsid w:val="00695086"/>
    <w:rsid w:val="006A7E75"/>
    <w:rsid w:val="006B1E56"/>
    <w:rsid w:val="006C624C"/>
    <w:rsid w:val="006D0E4A"/>
    <w:rsid w:val="007335DF"/>
    <w:rsid w:val="00733AC2"/>
    <w:rsid w:val="007641BF"/>
    <w:rsid w:val="0077049A"/>
    <w:rsid w:val="00781B6E"/>
    <w:rsid w:val="007A6471"/>
    <w:rsid w:val="007B4EEB"/>
    <w:rsid w:val="007B5826"/>
    <w:rsid w:val="007C3DE6"/>
    <w:rsid w:val="007D19E7"/>
    <w:rsid w:val="007F6E3A"/>
    <w:rsid w:val="00875BFC"/>
    <w:rsid w:val="00881258"/>
    <w:rsid w:val="008E1CA5"/>
    <w:rsid w:val="008F4F3B"/>
    <w:rsid w:val="009013DF"/>
    <w:rsid w:val="00906659"/>
    <w:rsid w:val="0092024F"/>
    <w:rsid w:val="00951713"/>
    <w:rsid w:val="00987373"/>
    <w:rsid w:val="009A4172"/>
    <w:rsid w:val="009B1150"/>
    <w:rsid w:val="009C4F70"/>
    <w:rsid w:val="009F6AE9"/>
    <w:rsid w:val="00A22270"/>
    <w:rsid w:val="00A2531E"/>
    <w:rsid w:val="00A256F4"/>
    <w:rsid w:val="00A34A24"/>
    <w:rsid w:val="00A949C6"/>
    <w:rsid w:val="00A96A95"/>
    <w:rsid w:val="00AA2FC8"/>
    <w:rsid w:val="00AA527A"/>
    <w:rsid w:val="00AB2F23"/>
    <w:rsid w:val="00AC547F"/>
    <w:rsid w:val="00B01983"/>
    <w:rsid w:val="00B340B9"/>
    <w:rsid w:val="00B52E5D"/>
    <w:rsid w:val="00B534D8"/>
    <w:rsid w:val="00B85A41"/>
    <w:rsid w:val="00B92C4F"/>
    <w:rsid w:val="00BE7F31"/>
    <w:rsid w:val="00BF1FD3"/>
    <w:rsid w:val="00C857B1"/>
    <w:rsid w:val="00CB44CB"/>
    <w:rsid w:val="00CC342D"/>
    <w:rsid w:val="00D0577B"/>
    <w:rsid w:val="00D34AF0"/>
    <w:rsid w:val="00D51826"/>
    <w:rsid w:val="00D772B4"/>
    <w:rsid w:val="00DA1DAB"/>
    <w:rsid w:val="00DB2E6B"/>
    <w:rsid w:val="00DC2E15"/>
    <w:rsid w:val="00DD586A"/>
    <w:rsid w:val="00DE1906"/>
    <w:rsid w:val="00DF1549"/>
    <w:rsid w:val="00E16170"/>
    <w:rsid w:val="00E21BDA"/>
    <w:rsid w:val="00E23B36"/>
    <w:rsid w:val="00E33B37"/>
    <w:rsid w:val="00E81918"/>
    <w:rsid w:val="00E91483"/>
    <w:rsid w:val="00EA5FB7"/>
    <w:rsid w:val="00EB2326"/>
    <w:rsid w:val="00F33140"/>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uiPriority w:val="9"/>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nte%20Titoli%20&#8211;%20MKT\Euronext%20Integration\CSD%20EURONEXT%20REBRANDING\Templates\Euronext%20Securities%20Milan%20letterhead.dotx" TargetMode="Externa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2.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06E20E7-4061-4753-99CF-943AC7658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158852-0BC7-4949-B1FD-E0696148B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Euronext Securities Milan letterhead</Template>
  <TotalTime>0</TotalTime>
  <Pages>4</Pages>
  <Words>1451</Words>
  <Characters>8273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Michelangelo Ippoliti - Contractor</cp:lastModifiedBy>
  <cp:revision>10</cp:revision>
  <dcterms:created xsi:type="dcterms:W3CDTF">2022-02-23T11:08:00Z</dcterms:created>
  <dcterms:modified xsi:type="dcterms:W3CDTF">2022-02-25T09:34:00Z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2022-02-23T11:08:02Z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e06d4d4e-c95d-445a-993e-d0706c8e3bf8</vt:lpwstr>
  </property>
  <property fmtid="{D5CDD505-2E9C-101B-9397-08002B2CF9AE}" pid="17" name="MSIP_Label_ac0b9ce6-6e99-42a1-af95-429494370cbc_ContentBits">
    <vt:lpwstr>2</vt:lpwstr>
  </property>
</Properties>
</file>